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fuel-tax-credits-scheme"/>
    <w:p>
      <w:pPr>
        <w:pStyle w:val="Heading1"/>
      </w:pPr>
      <w:r>
        <w:t xml:space="preserve">Fuel Tax Credits Scheme</w:t>
      </w:r>
    </w:p>
    <w:bookmarkStart w:id="20" w:name="what-it-is"/>
    <w:p>
      <w:pPr>
        <w:pStyle w:val="Heading2"/>
      </w:pPr>
      <w:r>
        <w:t xml:space="preserve">What it is</w:t>
      </w:r>
    </w:p>
    <w:p>
      <w:pPr>
        <w:pStyle w:val="FirstParagraph"/>
      </w:pPr>
      <w:r>
        <w:t xml:space="preserve">The Fuel Tax Credits Scheme (FTCS) refunds fuel excise to businesses that use diesel (and other fuels) for off-road purposes or in heavy on-road vehicles. The policy rationale is that fuel excise is a road-user charge: if your diesel never touches a public road, you shouldn’t pay it.</w:t>
      </w:r>
    </w:p>
    <w:p>
      <w:pPr>
        <w:pStyle w:val="BodyText"/>
      </w:pPr>
      <w:r>
        <w:t xml:space="preserve">The current credit rate for off-road diesel is 48.8 c/L — effectively the full excise. Heavy on-road vehicles (over 4.5 t GVM) receive a partial credit of approximately 19 c/L, reflecting that they pay a road-user charge via a separate mechanism.</w:t>
      </w:r>
    </w:p>
    <w:bookmarkEnd w:id="20"/>
    <w:bookmarkStart w:id="21" w:name="scale"/>
    <w:p>
      <w:pPr>
        <w:pStyle w:val="Heading2"/>
      </w:pPr>
      <w:r>
        <w:t xml:space="preserve">Scale</w:t>
      </w:r>
    </w:p>
    <w:p>
      <w:pPr>
        <w:pStyle w:val="FirstParagraph"/>
      </w:pPr>
      <w:r>
        <w:t xml:space="preserve">In FY 2022–23 the scheme cost $7.8 billion in revenue forgone</w:t>
      </w:r>
      <w:r>
        <w:t xml:space="preserve"> </w:t>
      </w:r>
      <w:r>
        <w:t xml:space="preserve">(</w:t>
      </w:r>
      <w:r>
        <w:rPr>
          <w:b/>
          <w:bCs/>
        </w:rPr>
        <w:t xml:space="preserve">australia-institute-ftc-2024?</w:t>
      </w:r>
      <w:r>
        <w:t xml:space="preserve">)</w:t>
      </w:r>
      <w:r>
        <w:t xml:space="preserve">. This makes it one of the largest single items of Commonwealth expenditure that doesn’t appear in the budget papers as a spending line — it is classified as a tax expenditure (revenue not collected).</w:t>
      </w:r>
    </w:p>
    <w:p>
      <w:pPr>
        <w:pStyle w:val="BodyText"/>
      </w:pPr>
      <w:r>
        <w:t xml:space="preserve">For context, $7.8 billion is larger than the entire Commonwealth spend on public hospitals, and roughly double the Renewable Energy Target’s cumulative cost.</w:t>
      </w:r>
    </w:p>
    <w:bookmarkEnd w:id="21"/>
    <w:bookmarkStart w:id="22" w:name="who-benefits"/>
    <w:p>
      <w:pPr>
        <w:pStyle w:val="Heading2"/>
      </w:pPr>
      <w:r>
        <w:t xml:space="preserve">Who benefits</w:t>
      </w:r>
    </w:p>
    <w:p>
      <w:pPr>
        <w:pStyle w:val="TableCaption"/>
      </w:pPr>
      <w:r>
        <w:t xml:space="preserve">Source: Australia Institute analysis of ATO data, FY 2022–23</w:t>
      </w:r>
      <w:r>
        <w:t xml:space="preserve"> </w:t>
      </w:r>
      <w:r>
        <w:t xml:space="preserve">(</w:t>
      </w:r>
      <w:r>
        <w:rPr>
          <w:b/>
          <w:bCs/>
        </w:rPr>
        <w:t xml:space="preserve">australia-institute-ftc-2024?</w:t>
      </w:r>
      <w:r>
        <w:t xml:space="preserve">)</w:t>
      </w:r>
      <w:r>
        <w:t xml:space="preserve">. Implied diesel volumes are author estimates at 48.8 c/L.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Source: Australia Institute analysis of ATO data, FY 2022–23 (australia-institute-ftc-2024?). Implied diesel volumes are author estimates at 48.8 c/L.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Sector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FTC claimed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Share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Implied diesel (BL)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Mining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$3.5B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45%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~7.2</w:t>
            </w:r>
          </w:p>
        </w:tc>
      </w:tr>
      <w:tr>
        <w:tc>
          <w:tcPr/>
          <w:p>
            <w:pPr>
              <w:pStyle w:val="Compact"/>
            </w:pPr>
            <w:r>
              <w:t xml:space="preserve">Agriculture, forestry, fishing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$1.3B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17%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~2.7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Transport, postal, warehousing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~$1.0B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~2.0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Construction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~$0.8B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~1.6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(manufacturing, utilities, defence)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~$1.2B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~2.5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$7.8B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100%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~16</w:t>
            </w:r>
          </w:p>
        </w:tc>
      </w:tr>
    </w:tbl>
    <w:p>
      <w:pPr>
        <w:pStyle w:val="BodyText"/>
      </w:pPr>
      <w:r>
        <w:t xml:space="preserve">Mining dominates. Within mining, coal accounts for approximately 48% of sector diesel use</w:t>
      </w:r>
      <w:r>
        <w:t xml:space="preserve"> </w:t>
      </w:r>
      <w:r>
        <w:t xml:space="preserve">(</w:t>
      </w:r>
      <w:r>
        <w:rPr>
          <w:b/>
          <w:bCs/>
        </w:rPr>
        <w:t xml:space="preserve">ieefa-mining-diesel-2026?</w:t>
      </w:r>
      <w:r>
        <w:t xml:space="preserve">)</w:t>
      </w:r>
      <w:r>
        <w:t xml:space="preserve">, implying coal miners alone claim roughly $1.7 billion per year in fuel tax credits. Iron ore and gold are the next largest mining sub-sectors.</w:t>
      </w:r>
    </w:p>
    <w:bookmarkEnd w:id="22"/>
    <w:bookmarkStart w:id="23" w:name="policy-significance-for-electrification"/>
    <w:p>
      <w:pPr>
        <w:pStyle w:val="Heading2"/>
      </w:pPr>
      <w:r>
        <w:t xml:space="preserve">Policy significance for electrification</w:t>
      </w:r>
    </w:p>
    <w:p>
      <w:pPr>
        <w:pStyle w:val="FirstParagraph"/>
      </w:pPr>
      <w:r>
        <w:t xml:space="preserve">The FTCS is the single largest structural barrier to off-road diesel electrification in Australia: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It halves the fuel cost advantage.</w:t>
      </w:r>
      <w:r>
        <w:t xml:space="preserve"> </w:t>
      </w:r>
      <w:r>
        <w:t xml:space="preserve">A mine operator paying $2.00/L retail diesel effectively pays $1.51/L after credits. The saving from switching to electricity drops from ~$1.63/L to ~$1.14/L — a 30% reduction in the incentive to electrify.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It is regressive by sector.</w:t>
      </w:r>
      <w:r>
        <w:t xml:space="preserve"> </w:t>
      </w:r>
      <w:r>
        <w:t xml:space="preserve">The largest beneficiaries (coal and iron ore miners) are among the most profitable and capital-rich companies in the economy. Small farms receive the same rate but claim far less in absolute terms.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It is invisible.</w:t>
      </w:r>
      <w:r>
        <w:t xml:space="preserve"> </w:t>
      </w:r>
      <w:r>
        <w:t xml:space="preserve">Because it is a tax expenditure rather than a budget appropriation, it receives far less scrutiny than a direct subsidy of equivalent size would attract.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Reform is politically difficult.</w:t>
      </w:r>
      <w:r>
        <w:t xml:space="preserve"> </w:t>
      </w:r>
      <w:r>
        <w:t xml:space="preserve">Any reduction would be characterised as a</w:t>
      </w:r>
      <w:r>
        <w:t xml:space="preserve"> </w:t>
      </w:r>
      <w:r>
        <w:t xml:space="preserve">“tax on farmers”</w:t>
      </w:r>
      <w:r>
        <w:t xml:space="preserve"> </w:t>
      </w:r>
      <w:r>
        <w:t xml:space="preserve">despite agriculture receiving only 17% of the total. The mining lobby is well-resourced.</w:t>
      </w:r>
    </w:p>
    <w:bookmarkEnd w:id="23"/>
    <w:bookmarkStart w:id="24" w:name="what-reform-might-look-like"/>
    <w:p>
      <w:pPr>
        <w:pStyle w:val="Heading2"/>
      </w:pPr>
      <w:r>
        <w:t xml:space="preserve">What reform might look like</w:t>
      </w:r>
    </w:p>
    <w:p>
      <w:pPr>
        <w:pStyle w:val="FirstParagraph"/>
      </w:pPr>
      <w:r>
        <w:t xml:space="preserve">The most commonly discussed options are: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Phase-down for mining</w:t>
      </w:r>
      <w:r>
        <w:t xml:space="preserve"> </w:t>
      </w:r>
      <w:r>
        <w:t xml:space="preserve">— reduce the credit rate by, say, 10 c/L per year over five years, retaining the full rate for agriculture and small business. This would raise ~$3.5 billion over the phase-down period from mining alone.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Electrification offset</w:t>
      </w:r>
      <w:r>
        <w:t xml:space="preserve"> </w:t>
      </w:r>
      <w:r>
        <w:t xml:space="preserve">— allow businesses to claim a credit against electricity used in equipment that replaces diesel, creating fiscal neutrality for the switch.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Carbon-linked reduction</w:t>
      </w:r>
      <w:r>
        <w:t xml:space="preserve"> </w:t>
      </w:r>
      <w:r>
        <w:t xml:space="preserve">— link the credit rate to the Safeguard Mechanism baseline, so facilities already subject to emissions obligations face a declining diesel subsidy.</w:t>
      </w:r>
    </w:p>
    <w:p>
      <w:pPr>
        <w:pStyle w:val="FirstParagraph"/>
      </w:pPr>
      <w:r>
        <w:t xml:space="preserve">None of these are currently government policy.</w:t>
      </w:r>
    </w:p>
    <w:bookmarkEnd w:id="24"/>
    <w:bookmarkStart w:id="25" w:name="references"/>
    <w:p>
      <w:pPr>
        <w:pStyle w:val="Heading2"/>
      </w:pPr>
      <w:r>
        <w:t xml:space="preserve">References</w:t>
      </w:r>
    </w:p>
    <w:p>
      <w:pPr>
        <w:pStyle w:val="Compact"/>
        <w:numPr>
          <w:ilvl w:val="0"/>
          <w:numId w:val="1003"/>
        </w:numPr>
      </w:pPr>
      <w:r>
        <w:t xml:space="preserve">(</w:t>
      </w:r>
      <w:r>
        <w:rPr>
          <w:b/>
          <w:bCs/>
        </w:rPr>
        <w:t xml:space="preserve">australia-institute-ftc-2024?</w:t>
      </w:r>
      <w:r>
        <w:t xml:space="preserve">)</w:t>
      </w:r>
    </w:p>
    <w:p>
      <w:pPr>
        <w:pStyle w:val="Compact"/>
        <w:numPr>
          <w:ilvl w:val="0"/>
          <w:numId w:val="1003"/>
        </w:numPr>
      </w:pPr>
      <w:r>
        <w:t xml:space="preserve">(</w:t>
      </w:r>
      <w:r>
        <w:rPr>
          <w:b/>
          <w:bCs/>
        </w:rPr>
        <w:t xml:space="preserve">ieefa-mining-diesel-2026?</w:t>
      </w:r>
      <w:r>
        <w:t xml:space="preserve">)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2026-04-10T01:35:12Z</dcterms:created>
  <dcterms:modified xsi:type="dcterms:W3CDTF">2026-04-10T01:35:12Z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../apa.csl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bl-cap-location">
    <vt:lpwstr>bottom</vt:lpwstr>
  </property>
  <property fmtid="{D5CDD505-2E9C-101B-9397-08002B2CF9AE}" pid="10" name="toc-title">
    <vt:lpwstr>Table of contents</vt:lpwstr>
  </property>
</Properties>
</file>