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4" w:name="X880ea1dd41ed8ee11d1719401c56ae9b065393e"/>
    <w:p>
      <w:pPr>
        <w:pStyle w:val="Heading1"/>
      </w:pPr>
      <w:r>
        <w:t xml:space="preserve">Great Barrier Reef: Tourism Economics and Trends</w:t>
      </w:r>
    </w:p>
    <w:p>
      <w:pPr>
        <w:pStyle w:val="FirstParagraph"/>
      </w:pPr>
      <w:r>
        <w:rPr>
          <w:i/>
          <w:iCs/>
        </w:rPr>
        <w:t xml:space="preserve">Research compiled 10 March 2026</w:t>
      </w:r>
    </w:p>
    <w:p>
      <w:r>
        <w:pict>
          <v:rect style="width:0;height:1.5pt" o:hralign="center" o:hrstd="t" o:hr="t"/>
        </w:pict>
      </w:r>
    </w:p>
    <w:bookmarkStart w:id="34" w:name="economic-valuations"/>
    <w:p>
      <w:pPr>
        <w:pStyle w:val="Heading2"/>
      </w:pPr>
      <w:r>
        <w:t xml:space="preserve">1. Economic Valuations</w:t>
      </w:r>
    </w:p>
    <w:bookmarkStart w:id="28" w:name="the-deloitte-access-economics-valuations"/>
    <w:p>
      <w:pPr>
        <w:pStyle w:val="Heading3"/>
      </w:pPr>
      <w:r>
        <w:t xml:space="preserve">1.1 The Deloitte Access Economics Valuations</w:t>
      </w:r>
    </w:p>
    <w:p>
      <w:pPr>
        <w:pStyle w:val="FirstParagraph"/>
      </w:pPr>
      <w:r>
        <w:t xml:space="preserve">Two landmark reports by Deloitte Access Economics, commissioned by the Great Barrier Reef Foundation, have established the most widely cited economic valuations of the GBR.</w:t>
      </w:r>
    </w:p>
    <w:p>
      <w:pPr>
        <w:pStyle w:val="BodyText"/>
      </w:pPr>
      <w:r>
        <w:rPr>
          <w:b/>
          <w:bCs/>
        </w:rPr>
        <w:t xml:space="preserve">“At What Price?”</w:t>
      </w:r>
      <w:r>
        <w:rPr>
          <w:b/>
          <w:bCs/>
        </w:rPr>
        <w:t xml:space="preserve"> </w:t>
      </w:r>
      <w:r>
        <w:rPr>
          <w:b/>
          <w:bCs/>
        </w:rPr>
        <w:t xml:space="preserve">(2017)</w:t>
      </w:r>
    </w:p>
    <w:p>
      <w:pPr>
        <w:pStyle w:val="BodyText"/>
      </w:pPr>
      <w:r>
        <w:t xml:space="preserve">The first comprehensive valuation assessed the GBR’s economic, social, and iconic value:</w:t>
      </w:r>
    </w:p>
    <w:p>
      <w:pPr>
        <w:pStyle w:val="Compact"/>
        <w:numPr>
          <w:ilvl w:val="0"/>
          <w:numId w:val="1001"/>
        </w:numPr>
      </w:pPr>
      <w:r>
        <w:rPr>
          <w:b/>
          <w:bCs/>
        </w:rPr>
        <w:t xml:space="preserve">Total asset value</w:t>
      </w:r>
      <w:r>
        <w:t xml:space="preserve">: A$56 billion</w:t>
      </w:r>
    </w:p>
    <w:p>
      <w:pPr>
        <w:pStyle w:val="Compact"/>
        <w:numPr>
          <w:ilvl w:val="0"/>
          <w:numId w:val="1001"/>
        </w:numPr>
      </w:pPr>
      <w:r>
        <w:rPr>
          <w:b/>
          <w:bCs/>
        </w:rPr>
        <w:t xml:space="preserve">Annual economic contribution</w:t>
      </w:r>
      <w:r>
        <w:t xml:space="preserve">: A$6.4 billion</w:t>
      </w:r>
    </w:p>
    <w:p>
      <w:pPr>
        <w:pStyle w:val="Compact"/>
        <w:numPr>
          <w:ilvl w:val="0"/>
          <w:numId w:val="1001"/>
        </w:numPr>
      </w:pPr>
      <w:r>
        <w:rPr>
          <w:b/>
          <w:bCs/>
        </w:rPr>
        <w:t xml:space="preserve">Employment</w:t>
      </w:r>
      <w:r>
        <w:t xml:space="preserve">: 64,000 jobs nationally, including 33,000 in Queensland</w:t>
      </w:r>
    </w:p>
    <w:p>
      <w:pPr>
        <w:pStyle w:val="Compact"/>
        <w:numPr>
          <w:ilvl w:val="0"/>
          <w:numId w:val="1001"/>
        </w:numPr>
      </w:pPr>
      <w:r>
        <w:t xml:space="preserve">Tourism was the largest contributor to the $56B value at</w:t>
      </w:r>
      <w:r>
        <w:t xml:space="preserve"> </w:t>
      </w:r>
      <w:r>
        <w:rPr>
          <w:b/>
          <w:bCs/>
        </w:rPr>
        <w:t xml:space="preserve">$29 billion</w:t>
      </w:r>
    </w:p>
    <w:p>
      <w:pPr>
        <w:pStyle w:val="Compact"/>
        <w:numPr>
          <w:ilvl w:val="0"/>
          <w:numId w:val="1001"/>
        </w:numPr>
      </w:pPr>
      <w:r>
        <w:t xml:space="preserve">Indirect/non-use value (people who value knowing the GBR exists):</w:t>
      </w:r>
      <w:r>
        <w:t xml:space="preserve"> </w:t>
      </w:r>
      <w:r>
        <w:rPr>
          <w:b/>
          <w:bCs/>
        </w:rPr>
        <w:t xml:space="preserve">$23.8 billion</w:t>
      </w:r>
    </w:p>
    <w:p>
      <w:pPr>
        <w:pStyle w:val="Compact"/>
        <w:numPr>
          <w:ilvl w:val="0"/>
          <w:numId w:val="1001"/>
        </w:numPr>
      </w:pPr>
      <w:r>
        <w:t xml:space="preserve">Recreational users:</w:t>
      </w:r>
      <w:r>
        <w:t xml:space="preserve"> </w:t>
      </w:r>
      <w:r>
        <w:rPr>
          <w:b/>
          <w:bCs/>
        </w:rPr>
        <w:t xml:space="preserve">$3.2 billion</w:t>
      </w:r>
    </w:p>
    <w:p>
      <w:pPr>
        <w:pStyle w:val="FirstParagraph"/>
      </w:pPr>
      <w:r>
        <w:t xml:space="preserve">The methodology used input-output tables, econometrics, willingness-to-pay analysis, sensitivity analysis, and the Brand Asset Valuator. The report was supported by the Great Barrier Reef Marine Park Authority and National Australia Bank.</w:t>
      </w:r>
    </w:p>
    <w:p>
      <w:pPr>
        <w:pStyle w:val="BodyText"/>
      </w:pPr>
      <w:r>
        <w:t xml:space="preserve">Sources:</w:t>
      </w:r>
      <w:r>
        <w:t xml:space="preserve"> </w:t>
      </w:r>
      <w:r>
        <w:t xml:space="preserve">-</w:t>
      </w:r>
      <w:r>
        <w:t xml:space="preserve"> </w:t>
      </w:r>
      <w:hyperlink r:id="rId20">
        <w:r>
          <w:rPr>
            <w:rStyle w:val="Hyperlink"/>
          </w:rPr>
          <w:t xml:space="preserve">Deloitte Access Economics — Great Barrier Reef</w:t>
        </w:r>
      </w:hyperlink>
      <w:r>
        <w:t xml:space="preserve"> </w:t>
      </w:r>
      <w:r>
        <w:t xml:space="preserve">-</w:t>
      </w:r>
      <w:r>
        <w:t xml:space="preserve"> </w:t>
      </w:r>
      <w:hyperlink r:id="rId21">
        <w:r>
          <w:rPr>
            <w:rStyle w:val="Hyperlink"/>
          </w:rPr>
          <w:t xml:space="preserve">At What Price? Full report (PDF)</w:t>
        </w:r>
      </w:hyperlink>
      <w:r>
        <w:t xml:space="preserve"> </w:t>
      </w:r>
      <w:r>
        <w:t xml:space="preserve">-</w:t>
      </w:r>
      <w:r>
        <w:t xml:space="preserve"> </w:t>
      </w:r>
      <w:hyperlink r:id="rId22">
        <w:r>
          <w:rPr>
            <w:rStyle w:val="Hyperlink"/>
          </w:rPr>
          <w:t xml:space="preserve">56 Billion Reasons — GBRF media release</w:t>
        </w:r>
      </w:hyperlink>
      <w:r>
        <w:t xml:space="preserve"> </w:t>
      </w:r>
      <w:r>
        <w:t xml:space="preserve">-</w:t>
      </w:r>
      <w:r>
        <w:t xml:space="preserve"> </w:t>
      </w:r>
      <w:hyperlink r:id="rId23">
        <w:r>
          <w:rPr>
            <w:rStyle w:val="Hyperlink"/>
          </w:rPr>
          <w:t xml:space="preserve">The Conversation — What’s the economic value of the GBR?</w:t>
        </w:r>
      </w:hyperlink>
    </w:p>
    <w:p>
      <w:pPr>
        <w:pStyle w:val="BodyText"/>
      </w:pPr>
      <w:r>
        <w:rPr>
          <w:b/>
          <w:bCs/>
        </w:rPr>
        <w:t xml:space="preserve">“At What Cost?”</w:t>
      </w:r>
      <w:r>
        <w:rPr>
          <w:b/>
          <w:bCs/>
        </w:rPr>
        <w:t xml:space="preserve"> </w:t>
      </w:r>
      <w:r>
        <w:rPr>
          <w:b/>
          <w:bCs/>
        </w:rPr>
        <w:t xml:space="preserve">(2024)</w:t>
      </w:r>
    </w:p>
    <w:p>
      <w:pPr>
        <w:pStyle w:val="BodyText"/>
      </w:pPr>
      <w:r>
        <w:t xml:space="preserve">The updated valuation found a substantial increase:</w:t>
      </w:r>
    </w:p>
    <w:p>
      <w:pPr>
        <w:pStyle w:val="Compact"/>
        <w:numPr>
          <w:ilvl w:val="0"/>
          <w:numId w:val="1002"/>
        </w:numPr>
      </w:pPr>
      <w:r>
        <w:rPr>
          <w:b/>
          <w:bCs/>
        </w:rPr>
        <w:t xml:space="preserve">Total value</w:t>
      </w:r>
      <w:r>
        <w:t xml:space="preserve">: A$95 billion (up 69% from 2017)</w:t>
      </w:r>
    </w:p>
    <w:p>
      <w:pPr>
        <w:pStyle w:val="Compact"/>
        <w:numPr>
          <w:ilvl w:val="0"/>
          <w:numId w:val="1002"/>
        </w:numPr>
      </w:pPr>
      <w:r>
        <w:rPr>
          <w:b/>
          <w:bCs/>
        </w:rPr>
        <w:t xml:space="preserve">Annual economic contribution</w:t>
      </w:r>
      <w:r>
        <w:t xml:space="preserve">: A$9 billion</w:t>
      </w:r>
    </w:p>
    <w:p>
      <w:pPr>
        <w:pStyle w:val="Compact"/>
        <w:numPr>
          <w:ilvl w:val="0"/>
          <w:numId w:val="1002"/>
        </w:numPr>
      </w:pPr>
      <w:r>
        <w:rPr>
          <w:b/>
          <w:bCs/>
        </w:rPr>
        <w:t xml:space="preserve">Employment</w:t>
      </w:r>
      <w:r>
        <w:t xml:space="preserve">: 77,000 full-time equivalent jobs (equivalent to Australia’s fifth-largest employer)</w:t>
      </w:r>
    </w:p>
    <w:p>
      <w:pPr>
        <w:pStyle w:val="Compact"/>
        <w:numPr>
          <w:ilvl w:val="0"/>
          <w:numId w:val="1002"/>
        </w:numPr>
      </w:pPr>
      <w:r>
        <w:rPr>
          <w:b/>
          <w:bCs/>
        </w:rPr>
        <w:t xml:space="preserve">Tourism contribution</w:t>
      </w:r>
      <w:r>
        <w:t xml:space="preserve">: $7.9 billion annually, accounting for nearly 90% of the Reef’s economic value</w:t>
      </w:r>
    </w:p>
    <w:p>
      <w:pPr>
        <w:pStyle w:val="Compact"/>
        <w:numPr>
          <w:ilvl w:val="0"/>
          <w:numId w:val="1002"/>
        </w:numPr>
      </w:pPr>
      <w:r>
        <w:rPr>
          <w:b/>
          <w:bCs/>
        </w:rPr>
        <w:t xml:space="preserve">Future opportunity</w:t>
      </w:r>
      <w:r>
        <w:t xml:space="preserve">: $124 billion in economic opportunity over the next 50 years if climate action is matched with investment in reef resilience</w:t>
      </w:r>
    </w:p>
    <w:p>
      <w:pPr>
        <w:pStyle w:val="Compact"/>
        <w:numPr>
          <w:ilvl w:val="0"/>
          <w:numId w:val="1002"/>
        </w:numPr>
      </w:pPr>
      <w:r>
        <w:t xml:space="preserve">98% of Australians surveyed fear losing the GBR</w:t>
      </w:r>
    </w:p>
    <w:p>
      <w:pPr>
        <w:pStyle w:val="FirstParagraph"/>
      </w:pPr>
      <w:r>
        <w:t xml:space="preserve">Sources:</w:t>
      </w:r>
      <w:r>
        <w:t xml:space="preserve"> </w:t>
      </w:r>
      <w:r>
        <w:t xml:space="preserve">-</w:t>
      </w:r>
      <w:r>
        <w:t xml:space="preserve"> </w:t>
      </w:r>
      <w:hyperlink r:id="rId24">
        <w:r>
          <w:rPr>
            <w:rStyle w:val="Hyperlink"/>
          </w:rPr>
          <w:t xml:space="preserve">GBRF — Value of the Reef ($95B)</w:t>
        </w:r>
      </w:hyperlink>
      <w:r>
        <w:t xml:space="preserve"> </w:t>
      </w:r>
      <w:r>
        <w:t xml:space="preserve">-</w:t>
      </w:r>
      <w:r>
        <w:t xml:space="preserve"> </w:t>
      </w:r>
      <w:hyperlink r:id="rId25">
        <w:r>
          <w:rPr>
            <w:rStyle w:val="Hyperlink"/>
          </w:rPr>
          <w:t xml:space="preserve">DCCEEW — GBR valued at $95 billion</w:t>
        </w:r>
      </w:hyperlink>
      <w:r>
        <w:t xml:space="preserve"> </w:t>
      </w:r>
      <w:r>
        <w:t xml:space="preserve">-</w:t>
      </w:r>
      <w:r>
        <w:t xml:space="preserve"> </w:t>
      </w:r>
      <w:hyperlink r:id="rId26">
        <w:r>
          <w:rPr>
            <w:rStyle w:val="Hyperlink"/>
          </w:rPr>
          <w:t xml:space="preserve">DCCEEW Joint Media Release</w:t>
        </w:r>
      </w:hyperlink>
      <w:r>
        <w:t xml:space="preserve"> </w:t>
      </w:r>
      <w:r>
        <w:t xml:space="preserve">-</w:t>
      </w:r>
      <w:r>
        <w:t xml:space="preserve"> </w:t>
      </w:r>
      <w:hyperlink r:id="rId27">
        <w:r>
          <w:rPr>
            <w:rStyle w:val="Hyperlink"/>
          </w:rPr>
          <w:t xml:space="preserve">At What Cost? Summary (PDF)</w:t>
        </w:r>
      </w:hyperlink>
    </w:p>
    <w:bookmarkEnd w:id="28"/>
    <w:bookmarkStart w:id="29" w:name="X4bdb3b2620d539eb970bedaf9c67d598a40af80"/>
    <w:p>
      <w:pPr>
        <w:pStyle w:val="Heading3"/>
      </w:pPr>
      <w:r>
        <w:t xml:space="preserve">1.2 What the</w:t>
      </w:r>
      <w:r>
        <w:t xml:space="preserve"> </w:t>
      </w:r>
      <w:r>
        <w:t xml:space="preserve">“$6.4 billion”</w:t>
      </w:r>
      <w:r>
        <w:t xml:space="preserve"> </w:t>
      </w:r>
      <w:r>
        <w:t xml:space="preserve">(now $9 billion) Actually Measures</w:t>
      </w:r>
    </w:p>
    <w:p>
      <w:pPr>
        <w:pStyle w:val="FirstParagraph"/>
      </w:pPr>
      <w:r>
        <w:t xml:space="preserve">The headline figure represents the</w:t>
      </w:r>
      <w:r>
        <w:t xml:space="preserve"> </w:t>
      </w:r>
      <w:r>
        <w:rPr>
          <w:b/>
          <w:bCs/>
        </w:rPr>
        <w:t xml:space="preserve">annual economic contribution</w:t>
      </w:r>
      <w:r>
        <w:t xml:space="preserve"> </w:t>
      </w:r>
      <w:r>
        <w:t xml:space="preserve">of the GBR to the Australian economy. This includes:</w:t>
      </w:r>
    </w:p>
    <w:p>
      <w:pPr>
        <w:pStyle w:val="Compact"/>
        <w:numPr>
          <w:ilvl w:val="0"/>
          <w:numId w:val="1003"/>
        </w:numPr>
      </w:pPr>
      <w:r>
        <w:rPr>
          <w:b/>
          <w:bCs/>
        </w:rPr>
        <w:t xml:space="preserve">Direct value-added</w:t>
      </w:r>
      <w:r>
        <w:t xml:space="preserve">: revenue generated by tourism operators, commercial fishing, recreation, and research activities directly on or adjacent to the reef</w:t>
      </w:r>
    </w:p>
    <w:p>
      <w:pPr>
        <w:pStyle w:val="Compact"/>
        <w:numPr>
          <w:ilvl w:val="0"/>
          <w:numId w:val="1003"/>
        </w:numPr>
      </w:pPr>
      <w:r>
        <w:rPr>
          <w:b/>
          <w:bCs/>
        </w:rPr>
        <w:t xml:space="preserve">Indirect (flow-on) effects</w:t>
      </w:r>
      <w:r>
        <w:t xml:space="preserve">: supply-chain spending by reef-dependent businesses (fuel, food, accommodation, transport)</w:t>
      </w:r>
    </w:p>
    <w:p>
      <w:pPr>
        <w:pStyle w:val="Compact"/>
        <w:numPr>
          <w:ilvl w:val="0"/>
          <w:numId w:val="1003"/>
        </w:numPr>
      </w:pPr>
      <w:r>
        <w:rPr>
          <w:b/>
          <w:bCs/>
        </w:rPr>
        <w:t xml:space="preserve">Induced effects</w:t>
      </w:r>
      <w:r>
        <w:t xml:space="preserve">: household spending by people employed in reef-related industries</w:t>
      </w:r>
    </w:p>
    <w:p>
      <w:pPr>
        <w:pStyle w:val="FirstParagraph"/>
      </w:pPr>
      <w:r>
        <w:t xml:space="preserve">It is NOT the asset value (that is the $56B/$95B figure) and NOT just tourism revenue. Tourism is the dominant component (~90% of the $9B), but the figure also includes commercial fishing, recreational fishing, and scientific research.</w:t>
      </w:r>
    </w:p>
    <w:bookmarkEnd w:id="29"/>
    <w:bookmarkStart w:id="31" w:name="abs-environmental-economic-accounts"/>
    <w:p>
      <w:pPr>
        <w:pStyle w:val="Heading3"/>
      </w:pPr>
      <w:r>
        <w:t xml:space="preserve">1.3 ABS Environmental-Economic Accounts</w:t>
      </w:r>
    </w:p>
    <w:p>
      <w:pPr>
        <w:pStyle w:val="FirstParagraph"/>
      </w:pPr>
      <w:r>
        <w:t xml:space="preserve">The Australian Bureau of Statistics produced Experimental Environmental-Economic Accounts for the GBR in 2017, using the UN SEEA-EEA framework. These accounts integrated biophysical and economic data, calculating ecosystem services inputs and tourism rent. The Wet Tropics NRM region (centred on Cairns) recorded significantly higher tourism expenditure than other NRM regions, with 4.8 million visitors in 2015-16.</w:t>
      </w:r>
    </w:p>
    <w:p>
      <w:pPr>
        <w:pStyle w:val="BodyText"/>
      </w:pPr>
      <w:r>
        <w:t xml:space="preserve">Source:</w:t>
      </w:r>
      <w:r>
        <w:t xml:space="preserve"> </w:t>
      </w:r>
      <w:hyperlink r:id="rId30">
        <w:r>
          <w:rPr>
            <w:rStyle w:val="Hyperlink"/>
          </w:rPr>
          <w:t xml:space="preserve">ABS — Experimental Environmental-Economic Accounts for the GBR, 2017</w:t>
        </w:r>
      </w:hyperlink>
    </w:p>
    <w:bookmarkEnd w:id="31"/>
    <w:bookmarkStart w:id="33" w:name="earlier-valuations"/>
    <w:p>
      <w:pPr>
        <w:pStyle w:val="Heading3"/>
      </w:pPr>
      <w:r>
        <w:t xml:space="preserve">1.4 Earlier Valuations</w:t>
      </w:r>
    </w:p>
    <w:p>
      <w:pPr>
        <w:pStyle w:val="FirstParagraph"/>
      </w:pPr>
      <w:r>
        <w:t xml:space="preserve">The Department of Environment produced an economic contribution study in March 2013, establishing earlier baseline figures.</w:t>
      </w:r>
    </w:p>
    <w:p>
      <w:pPr>
        <w:pStyle w:val="BodyText"/>
      </w:pPr>
      <w:r>
        <w:t xml:space="preserve">Source:</w:t>
      </w:r>
      <w:r>
        <w:t xml:space="preserve"> </w:t>
      </w:r>
      <w:hyperlink r:id="rId32">
        <w:r>
          <w:rPr>
            <w:rStyle w:val="Hyperlink"/>
          </w:rPr>
          <w:t xml:space="preserve">DCCEEW — Economic Contribution of the GBR, March 2013</w:t>
        </w:r>
      </w:hyperlink>
    </w:p>
    <w:p>
      <w:r>
        <w:pict>
          <v:rect style="width:0;height:1.5pt" o:hralign="center" o:hrstd="t" o:hr="t"/>
        </w:pict>
      </w:r>
    </w:p>
    <w:bookmarkEnd w:id="33"/>
    <w:bookmarkEnd w:id="34"/>
    <w:bookmarkStart w:id="43" w:name="tourism-visitor-numbers-actual-data"/>
    <w:p>
      <w:pPr>
        <w:pStyle w:val="Heading2"/>
      </w:pPr>
      <w:r>
        <w:t xml:space="preserve">2. Tourism Visitor Numbers — Actual Data</w:t>
      </w:r>
    </w:p>
    <w:bookmarkStart w:id="39" w:name="historical-time-series"/>
    <w:p>
      <w:pPr>
        <w:pStyle w:val="Heading3"/>
      </w:pPr>
      <w:r>
        <w:t xml:space="preserve">2.1 Historical Time Series</w:t>
      </w:r>
    </w:p>
    <w:p>
      <w:pPr>
        <w:pStyle w:val="FirstParagraph"/>
      </w:pPr>
      <w:r>
        <w:t xml:space="preserve">The best proxy for actual GBR visitor numbers is the GBRMPA Environmental Management Charge (EMC) data. All licensed tourism operations in the Marine Park must pay the EMC (introduced in 1993), and GBRMPA publishes visitor data derived from EMC returns.</w:t>
      </w:r>
    </w:p>
    <w:p>
      <w:pPr>
        <w:pStyle w:val="BodyText"/>
      </w:pPr>
      <w:r>
        <w:rPr>
          <w:b/>
          <w:bCs/>
        </w:rPr>
        <w:t xml:space="preserve">Long-term trend (EMC-derived visitor days)</w:t>
      </w:r>
      <w:r>
        <w:t xml:space="preserve">:</w:t>
      </w:r>
    </w:p>
    <w:tbl>
      <w:tblPr>
        <w:tblStyle w:val="Table"/>
        <w:tblW w:type="pct" w:w="5000"/>
        <w:tblLayout w:type="fixed"/>
        <w:tblLook w:firstRow="1" w:lastRow="0" w:firstColumn="0" w:lastColumn="0" w:noHBand="0" w:noVBand="0" w:val="0020"/>
      </w:tblPr>
      <w:tblGrid>
        <w:gridCol w:w="1863"/>
        <w:gridCol w:w="4425"/>
        <w:gridCol w:w="1630"/>
      </w:tblGrid>
      <w:tr>
        <w:trPr>
          <w:tblHeader w:val="on"/>
        </w:trPr>
        <w:tc>
          <w:tcPr/>
          <w:p>
            <w:pPr>
              <w:pStyle w:val="Compact"/>
            </w:pPr>
            <w:r>
              <w:t xml:space="preserve">Period</w:t>
            </w:r>
          </w:p>
        </w:tc>
        <w:tc>
          <w:tcPr/>
          <w:p>
            <w:pPr>
              <w:pStyle w:val="Compact"/>
            </w:pPr>
            <w:r>
              <w:t xml:space="preserve">Visitors (approx.)</w:t>
            </w:r>
          </w:p>
        </w:tc>
        <w:tc>
          <w:tcPr/>
          <w:p>
            <w:pPr>
              <w:pStyle w:val="Compact"/>
            </w:pPr>
            <w:r>
              <w:t xml:space="preserve">Notes</w:t>
            </w:r>
          </w:p>
        </w:tc>
      </w:tr>
      <w:tr>
        <w:tc>
          <w:tcPr/>
          <w:p>
            <w:pPr>
              <w:pStyle w:val="Compact"/>
            </w:pPr>
            <w:r>
              <w:t xml:space="preserve">1986-87</w:t>
            </w:r>
          </w:p>
        </w:tc>
        <w:tc>
          <w:tcPr/>
          <w:p>
            <w:pPr>
              <w:pStyle w:val="Compact"/>
            </w:pPr>
            <w:r>
              <w:t xml:space="preserve">400,000</w:t>
            </w:r>
          </w:p>
        </w:tc>
        <w:tc>
          <w:tcPr/>
          <w:p>
            <w:pPr>
              <w:pStyle w:val="Compact"/>
            </w:pPr>
            <w:r>
              <w:t xml:space="preserve">Early tourism era</w:t>
            </w:r>
          </w:p>
        </w:tc>
      </w:tr>
      <w:tr>
        <w:tc>
          <w:tcPr/>
          <w:p>
            <w:pPr>
              <w:pStyle w:val="Compact"/>
            </w:pPr>
            <w:r>
              <w:t xml:space="preserve">1996</w:t>
            </w:r>
          </w:p>
        </w:tc>
        <w:tc>
          <w:tcPr/>
          <w:p>
            <w:pPr>
              <w:pStyle w:val="Compact"/>
            </w:pPr>
            <w:r>
              <w:t xml:space="preserve">1,300,000</w:t>
            </w:r>
          </w:p>
        </w:tc>
        <w:tc>
          <w:tcPr/>
          <w:p>
            <w:pPr>
              <w:pStyle w:val="Compact"/>
            </w:pPr>
            <w:r>
              <w:t xml:space="preserve">Rapid growth through 1990s</w:t>
            </w:r>
          </w:p>
        </w:tc>
      </w:tr>
      <w:tr>
        <w:tc>
          <w:tcPr/>
          <w:p>
            <w:pPr>
              <w:pStyle w:val="Compact"/>
            </w:pPr>
            <w:r>
              <w:t xml:space="preserve">2005</w:t>
            </w:r>
          </w:p>
        </w:tc>
        <w:tc>
          <w:tcPr/>
          <w:p>
            <w:pPr>
              <w:pStyle w:val="Compact"/>
            </w:pPr>
            <w:r>
              <w:t xml:space="preserve">~3,800,000</w:t>
            </w:r>
          </w:p>
        </w:tc>
        <w:tc>
          <w:tcPr/>
          <w:p>
            <w:pPr>
              <w:pStyle w:val="Compact"/>
            </w:pPr>
            <w:r>
              <w:t xml:space="preserve">All-time peak (includes all visit types)</w:t>
            </w:r>
          </w:p>
        </w:tc>
      </w:tr>
      <w:tr>
        <w:tc>
          <w:tcPr/>
          <w:p>
            <w:pPr>
              <w:pStyle w:val="Compact"/>
            </w:pPr>
            <w:r>
              <w:t xml:space="preserve">2010-2015</w:t>
            </w:r>
          </w:p>
        </w:tc>
        <w:tc>
          <w:tcPr/>
          <w:p>
            <w:pPr>
              <w:pStyle w:val="Compact"/>
            </w:pPr>
            <w:r>
              <w:t xml:space="preserve">~2,300,000-2,500,000</w:t>
            </w:r>
          </w:p>
        </w:tc>
        <w:tc>
          <w:tcPr/>
          <w:p>
            <w:pPr>
              <w:pStyle w:val="Compact"/>
            </w:pPr>
            <w:r>
              <w:t xml:space="preserve">Post-Cyclone Yasi (2011) recovery, then plateau</w:t>
            </w:r>
          </w:p>
        </w:tc>
      </w:tr>
      <w:tr>
        <w:tc>
          <w:tcPr/>
          <w:p>
            <w:pPr>
              <w:pStyle w:val="Compact"/>
            </w:pPr>
            <w:r>
              <w:t xml:space="preserve">2017</w:t>
            </w:r>
          </w:p>
        </w:tc>
        <w:tc>
          <w:tcPr/>
          <w:p>
            <w:pPr>
              <w:pStyle w:val="Compact"/>
            </w:pPr>
            <w:r>
              <w:t xml:space="preserve">~2,620,000</w:t>
            </w:r>
          </w:p>
        </w:tc>
        <w:tc>
          <w:tcPr/>
          <w:p>
            <w:pPr>
              <w:pStyle w:val="Compact"/>
            </w:pPr>
            <w:r>
              <w:t xml:space="preserve">Recent peak year (7,178 daily visitors)</w:t>
            </w:r>
          </w:p>
        </w:tc>
      </w:tr>
      <w:tr>
        <w:tc>
          <w:tcPr/>
          <w:p>
            <w:pPr>
              <w:pStyle w:val="Compact"/>
            </w:pPr>
            <w:r>
              <w:t xml:space="preserve">2018</w:t>
            </w:r>
          </w:p>
        </w:tc>
        <w:tc>
          <w:tcPr/>
          <w:p>
            <w:pPr>
              <w:pStyle w:val="Compact"/>
            </w:pPr>
            <w:r>
              <w:t xml:space="preserve">~2,500,000</w:t>
            </w:r>
          </w:p>
        </w:tc>
        <w:tc>
          <w:tcPr/>
          <w:p>
            <w:pPr>
              <w:pStyle w:val="Compact"/>
            </w:pPr>
            <w:r>
              <w:t xml:space="preserve">Slight decline post-bleaching</w:t>
            </w:r>
          </w:p>
        </w:tc>
      </w:tr>
      <w:tr>
        <w:tc>
          <w:tcPr/>
          <w:p>
            <w:pPr>
              <w:pStyle w:val="Compact"/>
            </w:pPr>
            <w:r>
              <w:t xml:space="preserve">2019</w:t>
            </w:r>
          </w:p>
        </w:tc>
        <w:tc>
          <w:tcPr/>
          <w:p>
            <w:pPr>
              <w:pStyle w:val="Compact"/>
            </w:pPr>
            <w:r>
              <w:t xml:space="preserve">~2,400,000</w:t>
            </w:r>
          </w:p>
        </w:tc>
        <w:tc>
          <w:tcPr/>
          <w:p>
            <w:pPr>
              <w:pStyle w:val="Compact"/>
            </w:pPr>
            <w:r>
              <w:t xml:space="preserve">Pre-pandemic benchmark</w:t>
            </w:r>
          </w:p>
        </w:tc>
      </w:tr>
      <w:tr>
        <w:tc>
          <w:tcPr/>
          <w:p>
            <w:pPr>
              <w:pStyle w:val="Compact"/>
            </w:pPr>
            <w:r>
              <w:t xml:space="preserve">2020</w:t>
            </w:r>
          </w:p>
        </w:tc>
        <w:tc>
          <w:tcPr/>
          <w:p>
            <w:pPr>
              <w:pStyle w:val="Compact"/>
            </w:pPr>
            <w:r>
              <w:t xml:space="preserve">~960,000</w:t>
            </w:r>
          </w:p>
        </w:tc>
        <w:tc>
          <w:tcPr/>
          <w:p>
            <w:pPr>
              <w:pStyle w:val="Compact"/>
            </w:pPr>
            <w:r>
              <w:t xml:space="preserve">COVID-19 (60% decline)</w:t>
            </w:r>
          </w:p>
        </w:tc>
      </w:tr>
      <w:tr>
        <w:tc>
          <w:tcPr/>
          <w:p>
            <w:pPr>
              <w:pStyle w:val="Compact"/>
            </w:pPr>
            <w:r>
              <w:t xml:space="preserve">2021</w:t>
            </w:r>
          </w:p>
        </w:tc>
        <w:tc>
          <w:tcPr/>
          <w:p>
            <w:pPr>
              <w:pStyle w:val="Compact"/>
            </w:pPr>
            <w:r>
              <w:t xml:space="preserve">~1,250,000</w:t>
            </w:r>
          </w:p>
        </w:tc>
        <w:tc>
          <w:tcPr/>
          <w:p>
            <w:pPr>
              <w:pStyle w:val="Compact"/>
            </w:pPr>
            <w:r>
              <w:t xml:space="preserve">Partial domestic recovery</w:t>
            </w:r>
          </w:p>
        </w:tc>
      </w:tr>
      <w:tr>
        <w:tc>
          <w:tcPr/>
          <w:p>
            <w:pPr>
              <w:pStyle w:val="Compact"/>
            </w:pPr>
            <w:r>
              <w:t xml:space="preserve">2022</w:t>
            </w:r>
          </w:p>
        </w:tc>
        <w:tc>
          <w:tcPr/>
          <w:p>
            <w:pPr>
              <w:pStyle w:val="Compact"/>
            </w:pPr>
            <w:r>
              <w:t xml:space="preserve">~2,030,000</w:t>
            </w:r>
          </w:p>
        </w:tc>
        <w:tc>
          <w:tcPr/>
          <w:p>
            <w:pPr>
              <w:pStyle w:val="Compact"/>
            </w:pPr>
            <w:r>
              <w:t xml:space="preserve">International borders reopened Feb 2022</w:t>
            </w:r>
          </w:p>
        </w:tc>
      </w:tr>
      <w:tr>
        <w:tc>
          <w:tcPr/>
          <w:p>
            <w:pPr>
              <w:pStyle w:val="Compact"/>
            </w:pPr>
            <w:r>
              <w:t xml:space="preserve">2022-23 FY</w:t>
            </w:r>
          </w:p>
        </w:tc>
        <w:tc>
          <w:tcPr/>
          <w:p>
            <w:pPr>
              <w:pStyle w:val="Compact"/>
            </w:pPr>
            <w:r>
              <w:t xml:space="preserve">~2,190,000</w:t>
            </w:r>
          </w:p>
        </w:tc>
        <w:tc>
          <w:tcPr/>
          <w:p>
            <w:pPr>
              <w:pStyle w:val="Compact"/>
            </w:pPr>
            <w:r>
              <w:t xml:space="preserve">10.4% below 7-year pre-pandemic average</w:t>
            </w:r>
          </w:p>
        </w:tc>
      </w:tr>
      <w:tr>
        <w:tc>
          <w:tcPr/>
          <w:p>
            <w:pPr>
              <w:pStyle w:val="Compact"/>
            </w:pPr>
            <w:r>
              <w:t xml:space="preserve">2023</w:t>
            </w:r>
          </w:p>
        </w:tc>
        <w:tc>
          <w:tcPr/>
          <w:p>
            <w:pPr>
              <w:pStyle w:val="Compact"/>
            </w:pPr>
            <w:r>
              <w:t xml:space="preserve">~2,130,000</w:t>
            </w:r>
          </w:p>
        </w:tc>
        <w:tc>
          <w:tcPr/>
          <w:p>
            <w:pPr>
              <w:pStyle w:val="Compact"/>
            </w:pPr>
            <w:r>
              <w:t xml:space="preserve">~81% of pre-pandemic levels</w:t>
            </w:r>
          </w:p>
        </w:tc>
      </w:tr>
      <w:tr>
        <w:tc>
          <w:tcPr/>
          <w:p>
            <w:pPr>
              <w:pStyle w:val="Compact"/>
            </w:pPr>
            <w:r>
              <w:t xml:space="preserve">2024</w:t>
            </w:r>
          </w:p>
        </w:tc>
        <w:tc>
          <w:tcPr/>
          <w:p>
            <w:pPr>
              <w:pStyle w:val="Compact"/>
            </w:pPr>
            <w:r>
              <w:t xml:space="preserve">~2,340,000</w:t>
            </w:r>
          </w:p>
        </w:tc>
        <w:tc>
          <w:tcPr/>
          <w:p>
            <w:pPr>
              <w:pStyle w:val="Compact"/>
            </w:pPr>
            <w:r>
              <w:t xml:space="preserve">6,410 daily visitors; ~98% of 2019 levels</w:t>
            </w:r>
          </w:p>
        </w:tc>
      </w:tr>
    </w:tbl>
    <w:p>
      <w:pPr>
        <w:pStyle w:val="BodyText"/>
      </w:pPr>
      <w:r>
        <w:rPr>
          <w:b/>
          <w:bCs/>
        </w:rPr>
        <w:t xml:space="preserve">Key observations</w:t>
      </w:r>
      <w:r>
        <w:t xml:space="preserve">:</w:t>
      </w:r>
    </w:p>
    <w:p>
      <w:pPr>
        <w:pStyle w:val="Compact"/>
        <w:numPr>
          <w:ilvl w:val="0"/>
          <w:numId w:val="1004"/>
        </w:numPr>
      </w:pPr>
      <w:r>
        <w:t xml:space="preserve">The absolute peak was around 2005 (~3.8M), but this may include different counting methodology</w:t>
      </w:r>
    </w:p>
    <w:p>
      <w:pPr>
        <w:pStyle w:val="Compact"/>
        <w:numPr>
          <w:ilvl w:val="0"/>
          <w:numId w:val="1004"/>
        </w:numPr>
      </w:pPr>
      <w:r>
        <w:t xml:space="preserve">The more recent peak was 2017 (~2.62M), after which numbers plateaued and then declined</w:t>
      </w:r>
    </w:p>
    <w:p>
      <w:pPr>
        <w:pStyle w:val="Compact"/>
        <w:numPr>
          <w:ilvl w:val="0"/>
          <w:numId w:val="1004"/>
        </w:numPr>
      </w:pPr>
      <w:r>
        <w:t xml:space="preserve">The plateau/decline from 2017 coincided with the severe 2016-2017 mass bleaching events</w:t>
      </w:r>
    </w:p>
    <w:p>
      <w:pPr>
        <w:pStyle w:val="Compact"/>
        <w:numPr>
          <w:ilvl w:val="0"/>
          <w:numId w:val="1004"/>
        </w:numPr>
      </w:pPr>
      <w:r>
        <w:t xml:space="preserve">COVID caused a 60% crash in 2020</w:t>
      </w:r>
    </w:p>
    <w:p>
      <w:pPr>
        <w:pStyle w:val="Compact"/>
        <w:numPr>
          <w:ilvl w:val="0"/>
          <w:numId w:val="1004"/>
        </w:numPr>
      </w:pPr>
      <w:r>
        <w:t xml:space="preserve">Recovery to ~98% of 2019 levels by 2024, but still below the 2017 peak</w:t>
      </w:r>
    </w:p>
    <w:p>
      <w:pPr>
        <w:pStyle w:val="Compact"/>
        <w:numPr>
          <w:ilvl w:val="0"/>
          <w:numId w:val="1004"/>
        </w:numPr>
      </w:pPr>
      <w:r>
        <w:t xml:space="preserve">The 7-year pre-pandemic average was 2.45 million visits</w:t>
      </w:r>
    </w:p>
    <w:p>
      <w:pPr>
        <w:pStyle w:val="FirstParagraph"/>
      </w:pPr>
      <w:r>
        <w:rPr>
          <w:b/>
          <w:bCs/>
        </w:rPr>
        <w:t xml:space="preserve">Note on the 2005 peak vs later figures</w:t>
      </w:r>
      <w:r>
        <w:t xml:space="preserve">: The ~3.8M figure from 2005 likely reflects different counting methodology or scope. The consistent EMC-based series from ~2010 onwards shows the 2.4-2.6M range as the typical pre-pandemic level. GBRMPA notes that visitor data</w:t>
      </w:r>
      <w:r>
        <w:t xml:space="preserve"> </w:t>
      </w:r>
      <w:r>
        <w:t xml:space="preserve">“includes full day visits, part day visits, coral viewing activities, scenic flights and visits by those who are exempt from paying the Environmental Management Charge.”</w:t>
      </w:r>
    </w:p>
    <w:p>
      <w:pPr>
        <w:pStyle w:val="BodyText"/>
      </w:pPr>
      <w:r>
        <w:t xml:space="preserve">Sources:</w:t>
      </w:r>
      <w:r>
        <w:t xml:space="preserve"> </w:t>
      </w:r>
      <w:r>
        <w:t xml:space="preserve">-</w:t>
      </w:r>
      <w:r>
        <w:t xml:space="preserve"> </w:t>
      </w:r>
      <w:hyperlink r:id="rId35">
        <w:r>
          <w:rPr>
            <w:rStyle w:val="Hyperlink"/>
          </w:rPr>
          <w:t xml:space="preserve">GBRMPA — Tourism Visitation Data</w:t>
        </w:r>
      </w:hyperlink>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37">
        <w:r>
          <w:rPr>
            <w:rStyle w:val="Hyperlink"/>
          </w:rPr>
          <w:t xml:space="preserve">Wikipedia — Tourism on the Great Barrier Reef</w:t>
        </w:r>
      </w:hyperlink>
      <w:r>
        <w:t xml:space="preserve"> </w:t>
      </w:r>
      <w:r>
        <w:t xml:space="preserve">-</w:t>
      </w:r>
      <w:r>
        <w:t xml:space="preserve"> </w:t>
      </w:r>
      <w:hyperlink r:id="rId38">
        <w:r>
          <w:rPr>
            <w:rStyle w:val="Hyperlink"/>
          </w:rPr>
          <w:t xml:space="preserve">GBRMPA Outlook Report 2024 — Commercial Marine Tourism</w:t>
        </w:r>
      </w:hyperlink>
    </w:p>
    <w:bookmarkEnd w:id="39"/>
    <w:bookmarkStart w:id="40" w:name="visit-type-breakdown-2024"/>
    <w:p>
      <w:pPr>
        <w:pStyle w:val="Heading3"/>
      </w:pPr>
      <w:r>
        <w:t xml:space="preserve">2.2 Visit Type Breakdown (2024)</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Type</w:t>
            </w:r>
          </w:p>
        </w:tc>
        <w:tc>
          <w:tcPr/>
          <w:p>
            <w:pPr>
              <w:pStyle w:val="Compact"/>
            </w:pPr>
            <w:r>
              <w:t xml:space="preserve">Visitors</w:t>
            </w:r>
          </w:p>
        </w:tc>
      </w:tr>
      <w:tr>
        <w:tc>
          <w:tcPr/>
          <w:p>
            <w:pPr>
              <w:pStyle w:val="Compact"/>
            </w:pPr>
            <w:r>
              <w:t xml:space="preserve">Full-day trips</w:t>
            </w:r>
          </w:p>
        </w:tc>
        <w:tc>
          <w:tcPr/>
          <w:p>
            <w:pPr>
              <w:pStyle w:val="Compact"/>
            </w:pPr>
            <w:r>
              <w:t xml:space="preserve">2,340,000</w:t>
            </w:r>
          </w:p>
        </w:tc>
      </w:tr>
      <w:tr>
        <w:tc>
          <w:tcPr/>
          <w:p>
            <w:pPr>
              <w:pStyle w:val="Compact"/>
            </w:pPr>
            <w:r>
              <w:t xml:space="preserve">Part-day trips (&lt;3 hours)</w:t>
            </w:r>
          </w:p>
        </w:tc>
        <w:tc>
          <w:tcPr/>
          <w:p>
            <w:pPr>
              <w:pStyle w:val="Compact"/>
            </w:pPr>
            <w:r>
              <w:t xml:space="preserve">226,329</w:t>
            </w:r>
          </w:p>
        </w:tc>
      </w:tr>
      <w:tr>
        <w:tc>
          <w:tcPr/>
          <w:p>
            <w:pPr>
              <w:pStyle w:val="Compact"/>
            </w:pPr>
            <w:r>
              <w:t xml:space="preserve">Coral viewing (semi-sub/glass-bottom)</w:t>
            </w:r>
          </w:p>
        </w:tc>
        <w:tc>
          <w:tcPr/>
          <w:p>
            <w:pPr>
              <w:pStyle w:val="Compact"/>
            </w:pPr>
            <w:r>
              <w:t xml:space="preserve">206,095</w:t>
            </w:r>
          </w:p>
        </w:tc>
      </w:tr>
      <w:tr>
        <w:tc>
          <w:tcPr/>
          <w:p>
            <w:pPr>
              <w:pStyle w:val="Compact"/>
            </w:pPr>
            <w:r>
              <w:t xml:space="preserve">Scenic flights</w:t>
            </w:r>
          </w:p>
        </w:tc>
        <w:tc>
          <w:tcPr/>
          <w:p>
            <w:pPr>
              <w:pStyle w:val="Compact"/>
            </w:pPr>
            <w:r>
              <w:t xml:space="preserve">108,199</w:t>
            </w:r>
          </w:p>
        </w:tc>
      </w:tr>
    </w:tbl>
    <w:p>
      <w:pPr>
        <w:pStyle w:val="BodyText"/>
      </w:pPr>
      <w:r>
        <w:t xml:space="preserve">Source:</w:t>
      </w:r>
      <w:r>
        <w:t xml:space="preserve"> </w:t>
      </w:r>
      <w:hyperlink r:id="rId36">
        <w:r>
          <w:rPr>
            <w:rStyle w:val="Hyperlink"/>
          </w:rPr>
          <w:t xml:space="preserve">Road Genius — GBR Tourism Statistics</w:t>
        </w:r>
      </w:hyperlink>
    </w:p>
    <w:bookmarkEnd w:id="40"/>
    <w:bookmarkStart w:id="41" w:name="covid-19-impact-and-recovery"/>
    <w:p>
      <w:pPr>
        <w:pStyle w:val="Heading3"/>
      </w:pPr>
      <w:r>
        <w:t xml:space="preserve">2.3 COVID-19 Impact and Recovery</w:t>
      </w:r>
    </w:p>
    <w:p>
      <w:pPr>
        <w:pStyle w:val="Compact"/>
        <w:numPr>
          <w:ilvl w:val="0"/>
          <w:numId w:val="1005"/>
        </w:numPr>
      </w:pPr>
      <w:r>
        <w:rPr>
          <w:b/>
          <w:bCs/>
        </w:rPr>
        <w:t xml:space="preserve">2019</w:t>
      </w:r>
      <w:r>
        <w:t xml:space="preserve">: 2.40 million visitors (pre-pandemic baseline)</w:t>
      </w:r>
    </w:p>
    <w:p>
      <w:pPr>
        <w:pStyle w:val="Compact"/>
        <w:numPr>
          <w:ilvl w:val="0"/>
          <w:numId w:val="1005"/>
        </w:numPr>
      </w:pPr>
      <w:r>
        <w:rPr>
          <w:b/>
          <w:bCs/>
        </w:rPr>
        <w:t xml:space="preserve">2020</w:t>
      </w:r>
      <w:r>
        <w:t xml:space="preserve">: 0.96 million (60% decline)</w:t>
      </w:r>
    </w:p>
    <w:p>
      <w:pPr>
        <w:pStyle w:val="Compact"/>
        <w:numPr>
          <w:ilvl w:val="0"/>
          <w:numId w:val="1005"/>
        </w:numPr>
      </w:pPr>
      <w:r>
        <w:rPr>
          <w:b/>
          <w:bCs/>
        </w:rPr>
        <w:t xml:space="preserve">Early 2020 to end 2021</w:t>
      </w:r>
      <w:r>
        <w:t xml:space="preserve">: Visitation down ~42% on 2019 volumes</w:t>
      </w:r>
    </w:p>
    <w:p>
      <w:pPr>
        <w:pStyle w:val="Compact"/>
        <w:numPr>
          <w:ilvl w:val="0"/>
          <w:numId w:val="1005"/>
        </w:numPr>
      </w:pPr>
      <w:r>
        <w:rPr>
          <w:b/>
          <w:bCs/>
        </w:rPr>
        <w:t xml:space="preserve">2021-22 FY</w:t>
      </w:r>
      <w:r>
        <w:t xml:space="preserve">: Low base year</w:t>
      </w:r>
    </w:p>
    <w:p>
      <w:pPr>
        <w:pStyle w:val="Compact"/>
        <w:numPr>
          <w:ilvl w:val="0"/>
          <w:numId w:val="1005"/>
        </w:numPr>
      </w:pPr>
      <w:r>
        <w:rPr>
          <w:b/>
          <w:bCs/>
        </w:rPr>
        <w:t xml:space="preserve">2022-23 FY</w:t>
      </w:r>
      <w:r>
        <w:t xml:space="preserve">: Up 63.6% on 2021-22, but still 10.4% below the 7-year pre-pandemic average</w:t>
      </w:r>
    </w:p>
    <w:p>
      <w:pPr>
        <w:pStyle w:val="Compact"/>
        <w:numPr>
          <w:ilvl w:val="0"/>
          <w:numId w:val="1005"/>
        </w:numPr>
      </w:pPr>
      <w:r>
        <w:rPr>
          <w:b/>
          <w:bCs/>
        </w:rPr>
        <w:t xml:space="preserve">2024</w:t>
      </w:r>
      <w:r>
        <w:t xml:space="preserve">: 2.34 million (~98% of 2019 levels)</w:t>
      </w:r>
    </w:p>
    <w:p>
      <w:pPr>
        <w:pStyle w:val="Compact"/>
        <w:numPr>
          <w:ilvl w:val="0"/>
          <w:numId w:val="1005"/>
        </w:numPr>
      </w:pPr>
      <w:r>
        <w:t xml:space="preserve">International borders reopened February 2022, driving the recovery trajectory</w:t>
      </w:r>
    </w:p>
    <w:p>
      <w:pPr>
        <w:pStyle w:val="FirstParagraph"/>
      </w:pPr>
      <w:r>
        <w:t xml:space="preserve">Source:</w:t>
      </w:r>
      <w:r>
        <w:t xml:space="preserve"> </w:t>
      </w:r>
      <w:hyperlink r:id="rId38">
        <w:r>
          <w:rPr>
            <w:rStyle w:val="Hyperlink"/>
          </w:rPr>
          <w:t xml:space="preserve">GBRMPA Outlook Report 2024</w:t>
        </w:r>
      </w:hyperlink>
    </w:p>
    <w:bookmarkEnd w:id="41"/>
    <w:bookmarkStart w:id="42" w:name="domestic-vs-international-visitor-split"/>
    <w:p>
      <w:pPr>
        <w:pStyle w:val="Heading3"/>
      </w:pPr>
      <w:r>
        <w:t xml:space="preserve">2.4 Domestic vs International Visitor Split</w:t>
      </w:r>
    </w:p>
    <w:p>
      <w:pPr>
        <w:pStyle w:val="FirstParagraph"/>
      </w:pPr>
      <w:r>
        <w:rPr>
          <w:b/>
          <w:bCs/>
        </w:rPr>
        <w:t xml:space="preserve">Post-COVID composition (2024)</w:t>
      </w:r>
      <w:r>
        <w:t xml:space="preserve">:</w:t>
      </w:r>
      <w:r>
        <w:t xml:space="preserve"> </w:t>
      </w:r>
      <w:r>
        <w:t xml:space="preserve">- Domestic: ~75% of visitors (1.76 million), ~70% of spending (A$4.48 billion)</w:t>
      </w:r>
      <w:r>
        <w:t xml:space="preserve"> </w:t>
      </w:r>
      <w:r>
        <w:t xml:space="preserve">- International: ~25% of visitors (0.58 million), ~30% of spending (A$1.92 billion)</w:t>
      </w:r>
    </w:p>
    <w:p>
      <w:pPr>
        <w:pStyle w:val="BodyText"/>
      </w:pPr>
      <w:r>
        <w:t xml:space="preserve">This represents a significant shift toward domestic tourism compared to pre-pandemic, when international visitors formed a larger share. The slow return of Asian markets (particularly Chinese tourists) has kept the international share depressed.</w:t>
      </w:r>
    </w:p>
    <w:p>
      <w:pPr>
        <w:pStyle w:val="BodyText"/>
      </w:pPr>
      <w:r>
        <w:rPr>
          <w:b/>
          <w:bCs/>
        </w:rPr>
        <w:t xml:space="preserve">Spending patterns (2024)</w:t>
      </w:r>
      <w:r>
        <w:t xml:space="preserve">:</w:t>
      </w:r>
      <w:r>
        <w:t xml:space="preserve"> </w:t>
      </w:r>
      <w:r>
        <w:t xml:space="preserve">- Average total spend per trip: A$2,735</w:t>
      </w:r>
      <w:r>
        <w:t xml:space="preserve"> </w:t>
      </w:r>
      <w:r>
        <w:t xml:space="preserve">- Domestic visitors: ~A$2,545/trip, ~A$499/day, average stay 5.1 nights</w:t>
      </w:r>
      <w:r>
        <w:t xml:space="preserve"> </w:t>
      </w:r>
      <w:r>
        <w:t xml:space="preserve">- International visitors: ~A$3,312/trip, ~A$304/day, average stay 10.9 nights</w:t>
      </w:r>
    </w:p>
    <w:p>
      <w:pPr>
        <w:pStyle w:val="BodyText"/>
      </w:pPr>
      <w:r>
        <w:t xml:space="preserve">Sources:</w:t>
      </w:r>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37">
        <w:r>
          <w:rPr>
            <w:rStyle w:val="Hyperlink"/>
          </w:rPr>
          <w:t xml:space="preserve">Wikipedia — Tourism on the Great Barrier Reef</w:t>
        </w:r>
      </w:hyperlink>
    </w:p>
    <w:p>
      <w:r>
        <w:pict>
          <v:rect style="width:0;height:1.5pt" o:hralign="center" o:hrstd="t" o:hr="t"/>
        </w:pict>
      </w:r>
    </w:p>
    <w:bookmarkEnd w:id="42"/>
    <w:bookmarkEnd w:id="43"/>
    <w:bookmarkStart w:id="50" w:name="environmental-management-charge-emc"/>
    <w:p>
      <w:pPr>
        <w:pStyle w:val="Heading2"/>
      </w:pPr>
      <w:r>
        <w:t xml:space="preserve">3. Environmental Management Charge (EMC)</w:t>
      </w:r>
    </w:p>
    <w:bookmarkStart w:id="44" w:name="what-is-the-emc"/>
    <w:p>
      <w:pPr>
        <w:pStyle w:val="Heading3"/>
      </w:pPr>
      <w:r>
        <w:t xml:space="preserve">3.1 What Is the EMC?</w:t>
      </w:r>
    </w:p>
    <w:p>
      <w:pPr>
        <w:pStyle w:val="FirstParagraph"/>
      </w:pPr>
      <w:r>
        <w:t xml:space="preserve">The EMC (commonly called the</w:t>
      </w:r>
      <w:r>
        <w:t xml:space="preserve"> </w:t>
      </w:r>
      <w:r>
        <w:t xml:space="preserve">“reef tax”</w:t>
      </w:r>
      <w:r>
        <w:t xml:space="preserve">) is a charge levied on every commercial tourist visiting the Great Barrier Reef Marine Park. It was introduced in 1993 and is collected by tour operators, who remit it to GBRMPA. The funds support day-to-day management of the Marine Park.</w:t>
      </w:r>
    </w:p>
    <w:bookmarkEnd w:id="44"/>
    <w:bookmarkStart w:id="45" w:name="current-rates"/>
    <w:p>
      <w:pPr>
        <w:pStyle w:val="Heading3"/>
      </w:pPr>
      <w:r>
        <w:t xml:space="preserve">3.2 Current Rates</w:t>
      </w:r>
    </w:p>
    <w:p>
      <w:pPr>
        <w:pStyle w:val="FirstParagraph"/>
      </w:pPr>
      <w:r>
        <w:t xml:space="preserve">The EMC has increased over time:</w:t>
      </w:r>
      <w:r>
        <w:t xml:space="preserve"> </w:t>
      </w:r>
      <w:r>
        <w:t xml:space="preserve">- Historical rate: A$6.50 per person for a full day</w:t>
      </w:r>
      <w:r>
        <w:t xml:space="preserve"> </w:t>
      </w:r>
      <w:r>
        <w:t xml:space="preserve">- Current rate (as of 2025-26): A$8.00 per person for all adults and children aged 4+</w:t>
      </w:r>
    </w:p>
    <w:p>
      <w:pPr>
        <w:pStyle w:val="BodyText"/>
      </w:pPr>
      <w:r>
        <w:t xml:space="preserve">The EMC provided 18% of GBRMPA’s budget in 2009-10. With ~2.3 million visitors paying $8 each, the EMC would currently generate approximately</w:t>
      </w:r>
      <w:r>
        <w:t xml:space="preserve"> </w:t>
      </w:r>
      <w:r>
        <w:rPr>
          <w:b/>
          <w:bCs/>
        </w:rPr>
        <w:t xml:space="preserve">$18-19 million per year</w:t>
      </w:r>
      <w:r>
        <w:t xml:space="preserve"> </w:t>
      </w:r>
      <w:r>
        <w:t xml:space="preserve">in revenue for GBRMPA.</w:t>
      </w:r>
    </w:p>
    <w:bookmarkEnd w:id="45"/>
    <w:bookmarkStart w:id="49" w:name="emc-as-visitor-proxy"/>
    <w:p>
      <w:pPr>
        <w:pStyle w:val="Heading3"/>
      </w:pPr>
      <w:r>
        <w:t xml:space="preserve">3.3 EMC as Visitor Proxy</w:t>
      </w:r>
    </w:p>
    <w:p>
      <w:pPr>
        <w:pStyle w:val="FirstParagraph"/>
      </w:pPr>
      <w:r>
        <w:t xml:space="preserve">EMC data is the most reliable proxy for actual reef visitor numbers because every paying visitor is counted. GBRMPA publishes this data biannually. The tourism visitation dataset also includes exempt visitors (e.g., researchers, education groups).</w:t>
      </w:r>
    </w:p>
    <w:p>
      <w:pPr>
        <w:pStyle w:val="BodyText"/>
      </w:pPr>
      <w:r>
        <w:t xml:space="preserve">Sources:</w:t>
      </w:r>
      <w:r>
        <w:t xml:space="preserve"> </w:t>
      </w:r>
      <w:r>
        <w:t xml:space="preserve">-</w:t>
      </w:r>
      <w:r>
        <w:t xml:space="preserve"> </w:t>
      </w:r>
      <w:hyperlink r:id="rId46">
        <w:r>
          <w:rPr>
            <w:rStyle w:val="Hyperlink"/>
          </w:rPr>
          <w:t xml:space="preserve">GBRMPA — Environmental Management Charge</w:t>
        </w:r>
      </w:hyperlink>
      <w:r>
        <w:t xml:space="preserve"> </w:t>
      </w:r>
      <w:r>
        <w:t xml:space="preserve">-</w:t>
      </w:r>
      <w:r>
        <w:t xml:space="preserve"> </w:t>
      </w:r>
      <w:hyperlink r:id="rId47">
        <w:r>
          <w:rPr>
            <w:rStyle w:val="Hyperlink"/>
          </w:rPr>
          <w:t xml:space="preserve">GBRMPA — What Are the Charges?</w:t>
        </w:r>
      </w:hyperlink>
      <w:r>
        <w:t xml:space="preserve"> </w:t>
      </w:r>
      <w:r>
        <w:t xml:space="preserve">-</w:t>
      </w:r>
      <w:r>
        <w:t xml:space="preserve"> </w:t>
      </w:r>
      <w:hyperlink r:id="rId48">
        <w:r>
          <w:rPr>
            <w:rStyle w:val="Hyperlink"/>
          </w:rPr>
          <w:t xml:space="preserve">The Conversation — Is it too cheap to visit the GBR?</w:t>
        </w:r>
      </w:hyperlink>
    </w:p>
    <w:p>
      <w:r>
        <w:pict>
          <v:rect style="width:0;height:1.5pt" o:hralign="center" o:hrstd="t" o:hr="t"/>
        </w:pict>
      </w:r>
    </w:p>
    <w:bookmarkEnd w:id="49"/>
    <w:bookmarkEnd w:id="50"/>
    <w:bookmarkStart w:id="54" w:name="tourism-revenue-and-expenditure"/>
    <w:p>
      <w:pPr>
        <w:pStyle w:val="Heading2"/>
      </w:pPr>
      <w:r>
        <w:t xml:space="preserve">4. Tourism Revenue and Expenditure</w:t>
      </w:r>
    </w:p>
    <w:bookmarkStart w:id="51" w:name="total-tourism-revenue"/>
    <w:p>
      <w:pPr>
        <w:pStyle w:val="Heading3"/>
      </w:pPr>
      <w:r>
        <w:t xml:space="preserve">4.1 Total Tourism Revenue</w:t>
      </w:r>
    </w:p>
    <w:tbl>
      <w:tblPr>
        <w:tblStyle w:val="Table"/>
        <w:tblW w:type="pct" w:w="5000"/>
        <w:tblLayout w:type="fixed"/>
        <w:tblLook w:firstRow="1" w:lastRow="0" w:firstColumn="0" w:lastColumn="0" w:noHBand="0" w:noVBand="0" w:val="0020"/>
      </w:tblPr>
      <w:tblGrid>
        <w:gridCol w:w="3017"/>
        <w:gridCol w:w="2640"/>
        <w:gridCol w:w="2262"/>
      </w:tblGrid>
      <w:tr>
        <w:trPr>
          <w:tblHeader w:val="on"/>
        </w:trPr>
        <w:tc>
          <w:tcPr/>
          <w:p>
            <w:pPr>
              <w:pStyle w:val="Compact"/>
            </w:pPr>
            <w:r>
              <w:t xml:space="preserve">Metric</w:t>
            </w:r>
          </w:p>
        </w:tc>
        <w:tc>
          <w:tcPr/>
          <w:p>
            <w:pPr>
              <w:pStyle w:val="Compact"/>
            </w:pPr>
            <w:r>
              <w:t xml:space="preserve">Value</w:t>
            </w:r>
          </w:p>
        </w:tc>
        <w:tc>
          <w:tcPr/>
          <w:p>
            <w:pPr>
              <w:pStyle w:val="Compact"/>
            </w:pPr>
            <w:r>
              <w:t xml:space="preserve">Year</w:t>
            </w:r>
          </w:p>
        </w:tc>
      </w:tr>
      <w:tr>
        <w:tc>
          <w:tcPr/>
          <w:p>
            <w:pPr>
              <w:pStyle w:val="Compact"/>
            </w:pPr>
            <w:r>
              <w:t xml:space="preserve">Total GBR tourism economic contribution</w:t>
            </w:r>
          </w:p>
        </w:tc>
        <w:tc>
          <w:tcPr/>
          <w:p>
            <w:pPr>
              <w:pStyle w:val="Compact"/>
            </w:pPr>
            <w:r>
              <w:t xml:space="preserve">A$6.4 billion</w:t>
            </w:r>
          </w:p>
        </w:tc>
        <w:tc>
          <w:tcPr/>
          <w:p>
            <w:pPr>
              <w:pStyle w:val="Compact"/>
            </w:pPr>
            <w:r>
              <w:t xml:space="preserve">2024</w:t>
            </w:r>
          </w:p>
        </w:tc>
      </w:tr>
      <w:tr>
        <w:tc>
          <w:tcPr/>
          <w:p>
            <w:pPr>
              <w:pStyle w:val="Compact"/>
            </w:pPr>
            <w:r>
              <w:t xml:space="preserve">Tourism share of $9B annual GBR contribution</w:t>
            </w:r>
          </w:p>
        </w:tc>
        <w:tc>
          <w:tcPr/>
          <w:p>
            <w:pPr>
              <w:pStyle w:val="Compact"/>
            </w:pPr>
            <w:r>
              <w:t xml:space="preserve">$7.9 billion (88%)</w:t>
            </w:r>
          </w:p>
        </w:tc>
        <w:tc>
          <w:tcPr/>
          <w:p>
            <w:pPr>
              <w:pStyle w:val="Compact"/>
            </w:pPr>
            <w:r>
              <w:t xml:space="preserve">2024</w:t>
            </w:r>
          </w:p>
        </w:tc>
      </w:tr>
      <w:tr>
        <w:tc>
          <w:tcPr/>
          <w:p>
            <w:pPr>
              <w:pStyle w:val="Compact"/>
            </w:pPr>
            <w:r>
              <w:t xml:space="preserve">Tropical North Queensland overnight visitor spend</w:t>
            </w:r>
          </w:p>
        </w:tc>
        <w:tc>
          <w:tcPr/>
          <w:p>
            <w:pPr>
              <w:pStyle w:val="Compact"/>
            </w:pPr>
            <w:r>
              <w:t xml:space="preserve">A$4.72 billion</w:t>
            </w:r>
          </w:p>
        </w:tc>
        <w:tc>
          <w:tcPr/>
          <w:p>
            <w:pPr>
              <w:pStyle w:val="Compact"/>
            </w:pPr>
            <w:r>
              <w:t xml:space="preserve">YE Mar 2024</w:t>
            </w:r>
          </w:p>
        </w:tc>
      </w:tr>
      <w:tr>
        <w:tc>
          <w:tcPr/>
          <w:p>
            <w:pPr>
              <w:pStyle w:val="Compact"/>
            </w:pPr>
            <w:r>
              <w:t xml:space="preserve">Daily contribution to QLD economy</w:t>
            </w:r>
          </w:p>
        </w:tc>
        <w:tc>
          <w:tcPr/>
          <w:p>
            <w:pPr>
              <w:pStyle w:val="Compact"/>
            </w:pPr>
            <w:r>
              <w:t xml:space="preserve">~A$17.5 million</w:t>
            </w:r>
          </w:p>
        </w:tc>
        <w:tc>
          <w:tcPr/>
          <w:p>
            <w:pPr>
              <w:pStyle w:val="Compact"/>
            </w:pPr>
            <w:r>
              <w:t xml:space="preserve">2024</w:t>
            </w:r>
          </w:p>
        </w:tc>
      </w:tr>
    </w:tbl>
    <w:bookmarkEnd w:id="51"/>
    <w:bookmarkStart w:id="53" w:name="tourist-expenditure"/>
    <w:p>
      <w:pPr>
        <w:pStyle w:val="Heading3"/>
      </w:pPr>
      <w:r>
        <w:t xml:space="preserve">4.2 Tourist Expenditure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Amount</w:t>
            </w:r>
          </w:p>
        </w:tc>
      </w:tr>
      <w:tr>
        <w:tc>
          <w:tcPr/>
          <w:p>
            <w:pPr>
              <w:pStyle w:val="Compact"/>
            </w:pPr>
            <w:r>
              <w:t xml:space="preserve">Average spend per trip (all visitors)</w:t>
            </w:r>
          </w:p>
        </w:tc>
        <w:tc>
          <w:tcPr/>
          <w:p>
            <w:pPr>
              <w:pStyle w:val="Compact"/>
            </w:pPr>
            <w:r>
              <w:t xml:space="preserve">A$2,735</w:t>
            </w:r>
          </w:p>
        </w:tc>
      </w:tr>
      <w:tr>
        <w:tc>
          <w:tcPr/>
          <w:p>
            <w:pPr>
              <w:pStyle w:val="Compact"/>
            </w:pPr>
            <w:r>
              <w:t xml:space="preserve">Domestic visitor average per trip</w:t>
            </w:r>
          </w:p>
        </w:tc>
        <w:tc>
          <w:tcPr/>
          <w:p>
            <w:pPr>
              <w:pStyle w:val="Compact"/>
            </w:pPr>
            <w:r>
              <w:t xml:space="preserve">A$2,545</w:t>
            </w:r>
          </w:p>
        </w:tc>
      </w:tr>
      <w:tr>
        <w:tc>
          <w:tcPr/>
          <w:p>
            <w:pPr>
              <w:pStyle w:val="Compact"/>
            </w:pPr>
            <w:r>
              <w:t xml:space="preserve">International visitor average per trip</w:t>
            </w:r>
          </w:p>
        </w:tc>
        <w:tc>
          <w:tcPr/>
          <w:p>
            <w:pPr>
              <w:pStyle w:val="Compact"/>
            </w:pPr>
            <w:r>
              <w:t xml:space="preserve">A$3,312</w:t>
            </w:r>
          </w:p>
        </w:tc>
      </w:tr>
      <w:tr>
        <w:tc>
          <w:tcPr/>
          <w:p>
            <w:pPr>
              <w:pStyle w:val="Compact"/>
            </w:pPr>
            <w:r>
              <w:t xml:space="preserve">Domestic daily spend</w:t>
            </w:r>
          </w:p>
        </w:tc>
        <w:tc>
          <w:tcPr/>
          <w:p>
            <w:pPr>
              <w:pStyle w:val="Compact"/>
            </w:pPr>
            <w:r>
              <w:t xml:space="preserve">~A$499</w:t>
            </w:r>
          </w:p>
        </w:tc>
      </w:tr>
      <w:tr>
        <w:tc>
          <w:tcPr/>
          <w:p>
            <w:pPr>
              <w:pStyle w:val="Compact"/>
            </w:pPr>
            <w:r>
              <w:t xml:space="preserve">International daily spend</w:t>
            </w:r>
          </w:p>
        </w:tc>
        <w:tc>
          <w:tcPr/>
          <w:p>
            <w:pPr>
              <w:pStyle w:val="Compact"/>
            </w:pPr>
            <w:r>
              <w:t xml:space="preserve">~A$304</w:t>
            </w:r>
          </w:p>
        </w:tc>
      </w:tr>
    </w:tbl>
    <w:p>
      <w:pPr>
        <w:pStyle w:val="BodyText"/>
      </w:pPr>
      <w:r>
        <w:t xml:space="preserve">International visitors spend more per trip due to longer stays (10.9 nights vs 5.1 nights for domestic).</w:t>
      </w:r>
    </w:p>
    <w:p>
      <w:pPr>
        <w:pStyle w:val="BodyText"/>
      </w:pPr>
      <w:r>
        <w:t xml:space="preserve">Sources:</w:t>
      </w:r>
      <w:r>
        <w:t xml:space="preserve"> </w:t>
      </w:r>
      <w:r>
        <w:t xml:space="preserve">-</w:t>
      </w:r>
      <w:r>
        <w:t xml:space="preserve"> </w:t>
      </w:r>
      <w:hyperlink r:id="rId36">
        <w:r>
          <w:rPr>
            <w:rStyle w:val="Hyperlink"/>
          </w:rPr>
          <w:t xml:space="preserve">Road Genius — GBR Tourism Statistics</w:t>
        </w:r>
      </w:hyperlink>
      <w:r>
        <w:t xml:space="preserve"> </w:t>
      </w:r>
      <w:r>
        <w:t xml:space="preserve">-</w:t>
      </w:r>
      <w:r>
        <w:t xml:space="preserve"> </w:t>
      </w:r>
      <w:hyperlink r:id="rId52">
        <w:r>
          <w:rPr>
            <w:rStyle w:val="Hyperlink"/>
          </w:rPr>
          <w:t xml:space="preserve">Tropical North Queensland Tourism</w:t>
        </w:r>
      </w:hyperlink>
    </w:p>
    <w:p>
      <w:r>
        <w:pict>
          <v:rect style="width:0;height:1.5pt" o:hralign="center" o:hrstd="t" o:hr="t"/>
        </w:pict>
      </w:r>
    </w:p>
    <w:bookmarkEnd w:id="53"/>
    <w:bookmarkEnd w:id="54"/>
    <w:bookmarkStart w:id="59" w:name="employment"/>
    <w:p>
      <w:pPr>
        <w:pStyle w:val="Heading2"/>
      </w:pPr>
      <w:r>
        <w:t xml:space="preserve">5. Employment</w:t>
      </w:r>
    </w:p>
    <w:bookmarkStart w:id="55" w:name="national-employment"/>
    <w:p>
      <w:pPr>
        <w:pStyle w:val="Heading3"/>
      </w:pPr>
      <w:r>
        <w:t xml:space="preserve">5.1 National Employment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2017 Estimate</w:t>
            </w:r>
          </w:p>
        </w:tc>
        <w:tc>
          <w:tcPr/>
          <w:p>
            <w:pPr>
              <w:pStyle w:val="Compact"/>
            </w:pPr>
            <w:r>
              <w:t xml:space="preserve">2024 Estimate</w:t>
            </w:r>
          </w:p>
        </w:tc>
      </w:tr>
      <w:tr>
        <w:tc>
          <w:tcPr/>
          <w:p>
            <w:pPr>
              <w:pStyle w:val="Compact"/>
            </w:pPr>
            <w:r>
              <w:t xml:space="preserve">National jobs supported</w:t>
            </w:r>
          </w:p>
        </w:tc>
        <w:tc>
          <w:tcPr/>
          <w:p>
            <w:pPr>
              <w:pStyle w:val="Compact"/>
            </w:pPr>
            <w:r>
              <w:t xml:space="preserve">64,000</w:t>
            </w:r>
          </w:p>
        </w:tc>
        <w:tc>
          <w:tcPr/>
          <w:p>
            <w:pPr>
              <w:pStyle w:val="Compact"/>
            </w:pPr>
            <w:r>
              <w:t xml:space="preserve">77,000 FTE</w:t>
            </w:r>
          </w:p>
        </w:tc>
      </w:tr>
      <w:tr>
        <w:tc>
          <w:tcPr/>
          <w:p>
            <w:pPr>
              <w:pStyle w:val="Compact"/>
            </w:pPr>
            <w:r>
              <w:t xml:space="preserve">Queensland jobs</w:t>
            </w:r>
          </w:p>
        </w:tc>
        <w:tc>
          <w:tcPr/>
          <w:p>
            <w:pPr>
              <w:pStyle w:val="Compact"/>
            </w:pPr>
            <w:r>
              <w:t xml:space="preserve">33,000</w:t>
            </w:r>
          </w:p>
        </w:tc>
        <w:tc>
          <w:tcPr/>
          <w:p>
            <w:pPr>
              <w:pStyle w:val="Compact"/>
            </w:pPr>
            <w:r>
              <w:t xml:space="preserve">Not separately reported</w:t>
            </w:r>
          </w:p>
        </w:tc>
      </w:tr>
      <w:tr>
        <w:tc>
          <w:tcPr/>
          <w:p>
            <w:pPr>
              <w:pStyle w:val="Compact"/>
            </w:pPr>
            <w:r>
              <w:t xml:space="preserve">If single employer</w:t>
            </w:r>
          </w:p>
        </w:tc>
        <w:tc>
          <w:tcPr/>
          <w:p>
            <w:pPr>
              <w:pStyle w:val="Compact"/>
            </w:pPr>
            <w:r>
              <w:t xml:space="preserve">—</w:t>
            </w:r>
          </w:p>
        </w:tc>
        <w:tc>
          <w:tcPr/>
          <w:p>
            <w:pPr>
              <w:pStyle w:val="Compact"/>
            </w:pPr>
            <w:r>
              <w:t xml:space="preserve">Australia’s 5th largest</w:t>
            </w:r>
          </w:p>
        </w:tc>
      </w:tr>
    </w:tbl>
    <w:bookmarkEnd w:id="55"/>
    <w:bookmarkStart w:id="56" w:name="X800aa7f01f1767637931e0e4d7fcaa1d84e899f"/>
    <w:p>
      <w:pPr>
        <w:pStyle w:val="Heading3"/>
      </w:pPr>
      <w:r>
        <w:t xml:space="preserve">5.2 Regional Employment by Industry (2015-16 data, GBR regions)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Sector</w:t>
            </w:r>
          </w:p>
        </w:tc>
        <w:tc>
          <w:tcPr/>
          <w:p>
            <w:pPr>
              <w:pStyle w:val="Compact"/>
            </w:pPr>
            <w:r>
              <w:t xml:space="preserve">FTE Jobs</w:t>
            </w:r>
          </w:p>
        </w:tc>
      </w:tr>
      <w:tr>
        <w:tc>
          <w:tcPr/>
          <w:p>
            <w:pPr>
              <w:pStyle w:val="Compact"/>
            </w:pPr>
            <w:r>
              <w:t xml:space="preserve">Tourism</w:t>
            </w:r>
          </w:p>
        </w:tc>
        <w:tc>
          <w:tcPr/>
          <w:p>
            <w:pPr>
              <w:pStyle w:val="Compact"/>
            </w:pPr>
            <w:r>
              <w:t xml:space="preserve">19,855</w:t>
            </w:r>
          </w:p>
        </w:tc>
      </w:tr>
      <w:tr>
        <w:tc>
          <w:tcPr/>
          <w:p>
            <w:pPr>
              <w:pStyle w:val="Compact"/>
            </w:pPr>
            <w:r>
              <w:t xml:space="preserve">Recreation</w:t>
            </w:r>
          </w:p>
        </w:tc>
        <w:tc>
          <w:tcPr/>
          <w:p>
            <w:pPr>
              <w:pStyle w:val="Compact"/>
            </w:pPr>
            <w:r>
              <w:t xml:space="preserve">2,889</w:t>
            </w:r>
          </w:p>
        </w:tc>
      </w:tr>
      <w:tr>
        <w:tc>
          <w:tcPr/>
          <w:p>
            <w:pPr>
              <w:pStyle w:val="Compact"/>
            </w:pPr>
            <w:r>
              <w:t xml:space="preserve">Scientific research</w:t>
            </w:r>
          </w:p>
        </w:tc>
        <w:tc>
          <w:tcPr/>
          <w:p>
            <w:pPr>
              <w:pStyle w:val="Compact"/>
            </w:pPr>
            <w:r>
              <w:t xml:space="preserve">895</w:t>
            </w:r>
          </w:p>
        </w:tc>
      </w:tr>
      <w:tr>
        <w:tc>
          <w:tcPr/>
          <w:p>
            <w:pPr>
              <w:pStyle w:val="Compact"/>
            </w:pPr>
            <w:r>
              <w:t xml:space="preserve">Commercial fishing</w:t>
            </w:r>
          </w:p>
        </w:tc>
        <w:tc>
          <w:tcPr/>
          <w:p>
            <w:pPr>
              <w:pStyle w:val="Compact"/>
            </w:pPr>
            <w:r>
              <w:t xml:space="preserve">680</w:t>
            </w:r>
          </w:p>
        </w:tc>
      </w:tr>
      <w:tr>
        <w:tc>
          <w:tcPr/>
          <w:p>
            <w:pPr>
              <w:pStyle w:val="Compact"/>
            </w:pPr>
            <w:r>
              <w:rPr>
                <w:b/>
                <w:bCs/>
              </w:rPr>
              <w:t xml:space="preserve">Total (GBR regions)</w:t>
            </w:r>
          </w:p>
        </w:tc>
        <w:tc>
          <w:tcPr/>
          <w:p>
            <w:pPr>
              <w:pStyle w:val="Compact"/>
            </w:pPr>
            <w:r>
              <w:rPr>
                <w:b/>
                <w:bCs/>
              </w:rPr>
              <w:t xml:space="preserve">24,319</w:t>
            </w:r>
          </w:p>
        </w:tc>
      </w:tr>
    </w:tbl>
    <w:p>
      <w:pPr>
        <w:pStyle w:val="BodyText"/>
      </w:pPr>
      <w:r>
        <w:t xml:space="preserve">The remaining ~40,000 jobs (to reach the national 64,000 total) are indirect/induced employment in supply chains and support industries outside the immediate GBR region.</w:t>
      </w:r>
    </w:p>
    <w:bookmarkEnd w:id="56"/>
    <w:bookmarkStart w:id="58" w:name="cairns-employment"/>
    <w:p>
      <w:pPr>
        <w:pStyle w:val="Heading3"/>
      </w:pPr>
      <w:r>
        <w:t xml:space="preserve">5.3 Cairns Employment</w:t>
      </w:r>
    </w:p>
    <w:p>
      <w:pPr>
        <w:pStyle w:val="FirstParagraph"/>
      </w:pPr>
      <w:r>
        <w:t xml:space="preserve">Tourism represents approximately</w:t>
      </w:r>
      <w:r>
        <w:t xml:space="preserve"> </w:t>
      </w:r>
      <w:r>
        <w:rPr>
          <w:b/>
          <w:bCs/>
        </w:rPr>
        <w:t xml:space="preserve">1 in 5 jobs</w:t>
      </w:r>
      <w:r>
        <w:t xml:space="preserve"> </w:t>
      </w:r>
      <w:r>
        <w:t xml:space="preserve">in Cairns. The broader tourism sector employs around 15,000 people in the Cairns region and generates approximately A$2.5 billion in revenue annually.</w:t>
      </w:r>
    </w:p>
    <w:p>
      <w:pPr>
        <w:pStyle w:val="BodyText"/>
      </w:pPr>
      <w:r>
        <w:t xml:space="preserve">Sources:</w:t>
      </w:r>
      <w:r>
        <w:t xml:space="preserve"> </w:t>
      </w:r>
      <w:r>
        <w:t xml:space="preserve">-</w:t>
      </w:r>
      <w:r>
        <w:t xml:space="preserve"> </w:t>
      </w:r>
      <w:hyperlink r:id="rId57">
        <w:r>
          <w:rPr>
            <w:rStyle w:val="Hyperlink"/>
          </w:rPr>
          <w:t xml:space="preserve">National Geographic — GBR supports 64,000 jobs</w:t>
        </w:r>
      </w:hyperlink>
      <w:r>
        <w:t xml:space="preserve"> </w:t>
      </w:r>
      <w:r>
        <w:t xml:space="preserve">-</w:t>
      </w:r>
      <w:r>
        <w:t xml:space="preserve"> </w:t>
      </w:r>
      <w:hyperlink r:id="rId25">
        <w:r>
          <w:rPr>
            <w:rStyle w:val="Hyperlink"/>
          </w:rPr>
          <w:t xml:space="preserve">DCCEEW — GBR valued at $95 billion</w:t>
        </w:r>
      </w:hyperlink>
      <w:r>
        <w:t xml:space="preserve"> </w:t>
      </w:r>
      <w:r>
        <w:t xml:space="preserve">-</w:t>
      </w:r>
      <w:r>
        <w:t xml:space="preserve"> </w:t>
      </w:r>
      <w:hyperlink r:id="rId21">
        <w:r>
          <w:rPr>
            <w:rStyle w:val="Hyperlink"/>
          </w:rPr>
          <w:t xml:space="preserve">Deloitte — At What Price?</w:t>
        </w:r>
      </w:hyperlink>
    </w:p>
    <w:p>
      <w:r>
        <w:pict>
          <v:rect style="width:0;height:1.5pt" o:hralign="center" o:hrstd="t" o:hr="t"/>
        </w:pict>
      </w:r>
    </w:p>
    <w:bookmarkEnd w:id="58"/>
    <w:bookmarkEnd w:id="59"/>
    <w:bookmarkStart w:id="72" w:name="regional-breakdown"/>
    <w:p>
      <w:pPr>
        <w:pStyle w:val="Heading2"/>
      </w:pPr>
      <w:r>
        <w:t xml:space="preserve">6. Regional Breakdown</w:t>
      </w:r>
    </w:p>
    <w:bookmarkStart w:id="60" w:name="geographic-concentration"/>
    <w:p>
      <w:pPr>
        <w:pStyle w:val="Heading3"/>
      </w:pPr>
      <w:r>
        <w:t xml:space="preserve">6.1 Geographic Concentration</w:t>
      </w:r>
    </w:p>
    <w:p>
      <w:pPr>
        <w:pStyle w:val="FirstParagraph"/>
      </w:pPr>
      <w:r>
        <w:t xml:space="preserve">Tourism in the GBR is heavily concentrated:</w:t>
      </w:r>
    </w:p>
    <w:p>
      <w:pPr>
        <w:pStyle w:val="Compact"/>
        <w:numPr>
          <w:ilvl w:val="0"/>
          <w:numId w:val="1006"/>
        </w:numPr>
      </w:pPr>
      <w:r>
        <w:rPr>
          <w:b/>
          <w:bCs/>
        </w:rPr>
        <w:t xml:space="preserve">86% of tourism visits</w:t>
      </w:r>
      <w:r>
        <w:t xml:space="preserve"> </w:t>
      </w:r>
      <w:r>
        <w:t xml:space="preserve">occur in waters adjacent to Cairns, Port Douglas, and the Whitsundays</w:t>
      </w:r>
    </w:p>
    <w:p>
      <w:pPr>
        <w:pStyle w:val="Compact"/>
        <w:numPr>
          <w:ilvl w:val="0"/>
          <w:numId w:val="1006"/>
        </w:numPr>
      </w:pPr>
      <w:r>
        <w:t xml:space="preserve">Tourism is concentrated to just</w:t>
      </w:r>
      <w:r>
        <w:t xml:space="preserve"> </w:t>
      </w:r>
      <w:r>
        <w:rPr>
          <w:b/>
          <w:bCs/>
        </w:rPr>
        <w:t xml:space="preserve">7% of the total Marine Park area</w:t>
      </w:r>
    </w:p>
    <w:p>
      <w:pPr>
        <w:pStyle w:val="Compact"/>
        <w:numPr>
          <w:ilvl w:val="0"/>
          <w:numId w:val="1006"/>
        </w:numPr>
      </w:pPr>
      <w:r>
        <w:t xml:space="preserve">As of 2003, 85% of tourism was in Cairns and Whitsunday areas; this has remained broadly stable</w:t>
      </w:r>
    </w:p>
    <w:bookmarkEnd w:id="60"/>
    <w:bookmarkStart w:id="64" w:name="cairns-tropical-north-queensland"/>
    <w:p>
      <w:pPr>
        <w:pStyle w:val="Heading3"/>
      </w:pPr>
      <w:r>
        <w:t xml:space="preserve">6.2 Cairns / Tropical North Queensland</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Cairns GRP</w:t>
            </w:r>
          </w:p>
        </w:tc>
        <w:tc>
          <w:tcPr/>
          <w:p>
            <w:pPr>
              <w:pStyle w:val="Compact"/>
            </w:pPr>
            <w:r>
              <w:t xml:space="preserve">A$12.23 billion (2023-24)</w:t>
            </w:r>
          </w:p>
        </w:tc>
      </w:tr>
      <w:tr>
        <w:tc>
          <w:tcPr/>
          <w:p>
            <w:pPr>
              <w:pStyle w:val="Compact"/>
            </w:pPr>
            <w:r>
              <w:t xml:space="preserve">Share of QLD GSP</w:t>
            </w:r>
          </w:p>
        </w:tc>
        <w:tc>
          <w:tcPr/>
          <w:p>
            <w:pPr>
              <w:pStyle w:val="Compact"/>
            </w:pPr>
            <w:r>
              <w:t xml:space="preserve">2.35%</w:t>
            </w:r>
          </w:p>
        </w:tc>
      </w:tr>
      <w:tr>
        <w:tc>
          <w:tcPr/>
          <w:p>
            <w:pPr>
              <w:pStyle w:val="Compact"/>
            </w:pPr>
            <w:r>
              <w:t xml:space="preserve">Total tourism sales</w:t>
            </w:r>
          </w:p>
        </w:tc>
        <w:tc>
          <w:tcPr/>
          <w:p>
            <w:pPr>
              <w:pStyle w:val="Compact"/>
            </w:pPr>
            <w:r>
              <w:t xml:space="preserve">A$4,476.4 million (2023-24)</w:t>
            </w:r>
          </w:p>
        </w:tc>
      </w:tr>
      <w:tr>
        <w:tc>
          <w:tcPr/>
          <w:p>
            <w:pPr>
              <w:pStyle w:val="Compact"/>
            </w:pPr>
            <w:r>
              <w:t xml:space="preserve">Tourism value added</w:t>
            </w:r>
          </w:p>
        </w:tc>
        <w:tc>
          <w:tcPr/>
          <w:p>
            <w:pPr>
              <w:pStyle w:val="Compact"/>
            </w:pPr>
            <w:r>
              <w:t xml:space="preserve">A$2,211.6 million</w:t>
            </w:r>
          </w:p>
        </w:tc>
      </w:tr>
      <w:tr>
        <w:tc>
          <w:tcPr/>
          <w:p>
            <w:pPr>
              <w:pStyle w:val="Compact"/>
            </w:pPr>
            <w:r>
              <w:t xml:space="preserve">TNQ overnight visitors</w:t>
            </w:r>
          </w:p>
        </w:tc>
        <w:tc>
          <w:tcPr/>
          <w:p>
            <w:pPr>
              <w:pStyle w:val="Compact"/>
            </w:pPr>
            <w:r>
              <w:t xml:space="preserve">2.8 million (YE Mar 2024)</w:t>
            </w:r>
          </w:p>
        </w:tc>
      </w:tr>
      <w:tr>
        <w:tc>
          <w:tcPr/>
          <w:p>
            <w:pPr>
              <w:pStyle w:val="Compact"/>
            </w:pPr>
            <w:r>
              <w:t xml:space="preserve">TNQ overnight visitor spend</w:t>
            </w:r>
          </w:p>
        </w:tc>
        <w:tc>
          <w:tcPr/>
          <w:p>
            <w:pPr>
              <w:pStyle w:val="Compact"/>
            </w:pPr>
            <w:r>
              <w:t xml:space="preserve">A$4.72 billion</w:t>
            </w:r>
          </w:p>
        </w:tc>
      </w:tr>
      <w:tr>
        <w:tc>
          <w:tcPr/>
          <w:p>
            <w:pPr>
              <w:pStyle w:val="Compact"/>
            </w:pPr>
            <w:r>
              <w:t xml:space="preserve">Largest industry by employment</w:t>
            </w:r>
          </w:p>
        </w:tc>
        <w:tc>
          <w:tcPr/>
          <w:p>
            <w:pPr>
              <w:pStyle w:val="Compact"/>
            </w:pPr>
            <w:r>
              <w:t xml:space="preserve">Healthcare (19%), but tourism is critical</w:t>
            </w:r>
          </w:p>
        </w:tc>
      </w:tr>
    </w:tbl>
    <w:p>
      <w:pPr>
        <w:pStyle w:val="BodyText"/>
      </w:pPr>
      <w:r>
        <w:t xml:space="preserve">Cairns is the primary gateway for GBR tourism. While the economy has diversified (healthcare, construction, public admin), tourism remains a defining industry.</w:t>
      </w:r>
    </w:p>
    <w:p>
      <w:pPr>
        <w:pStyle w:val="BodyText"/>
      </w:pPr>
      <w:r>
        <w:t xml:space="preserve">Sources:</w:t>
      </w:r>
      <w:r>
        <w:t xml:space="preserve"> </w:t>
      </w:r>
      <w:r>
        <w:t xml:space="preserve">-</w:t>
      </w:r>
      <w:r>
        <w:t xml:space="preserve"> </w:t>
      </w:r>
      <w:hyperlink r:id="rId61">
        <w:r>
          <w:rPr>
            <w:rStyle w:val="Hyperlink"/>
          </w:rPr>
          <w:t xml:space="preserve">Cairns economy.id — Tourism Value</w:t>
        </w:r>
      </w:hyperlink>
      <w:r>
        <w:t xml:space="preserve"> </w:t>
      </w:r>
      <w:r>
        <w:t xml:space="preserve">-</w:t>
      </w:r>
      <w:r>
        <w:t xml:space="preserve"> </w:t>
      </w:r>
      <w:hyperlink r:id="rId62">
        <w:r>
          <w:rPr>
            <w:rStyle w:val="Hyperlink"/>
          </w:rPr>
          <w:t xml:space="preserve">Cairns economy.id — Economic Profile</w:t>
        </w:r>
      </w:hyperlink>
      <w:r>
        <w:t xml:space="preserve"> </w:t>
      </w:r>
      <w:r>
        <w:t xml:space="preserve">-</w:t>
      </w:r>
      <w:r>
        <w:t xml:space="preserve"> </w:t>
      </w:r>
      <w:hyperlink r:id="rId63">
        <w:r>
          <w:rPr>
            <w:rStyle w:val="Hyperlink"/>
          </w:rPr>
          <w:t xml:space="preserve">Choose Cairns — Economy</w:t>
        </w:r>
      </w:hyperlink>
    </w:p>
    <w:bookmarkEnd w:id="64"/>
    <w:bookmarkStart w:id="65" w:name="whitsundays"/>
    <w:p>
      <w:pPr>
        <w:pStyle w:val="Heading3"/>
      </w:pPr>
      <w:r>
        <w:t xml:space="preserve">6.3 Whitsundays</w:t>
      </w:r>
    </w:p>
    <w:p>
      <w:pPr>
        <w:pStyle w:val="Compact"/>
        <w:numPr>
          <w:ilvl w:val="0"/>
          <w:numId w:val="1007"/>
        </w:numPr>
      </w:pPr>
      <w:r>
        <w:t xml:space="preserve">Whitsundays achieved</w:t>
      </w:r>
      <w:r>
        <w:t xml:space="preserve"> </w:t>
      </w:r>
      <w:r>
        <w:rPr>
          <w:b/>
          <w:bCs/>
        </w:rPr>
        <w:t xml:space="preserve">record domestic tourism spending of A$1.5 billion in 2024</w:t>
      </w:r>
    </w:p>
    <w:p>
      <w:pPr>
        <w:pStyle w:val="Compact"/>
        <w:numPr>
          <w:ilvl w:val="0"/>
          <w:numId w:val="1007"/>
        </w:numPr>
      </w:pPr>
      <w:r>
        <w:t xml:space="preserve">The region is the second-largest GBR tourism hub after Cairns/Port Douglas</w:t>
      </w:r>
    </w:p>
    <w:p>
      <w:pPr>
        <w:pStyle w:val="Compact"/>
        <w:numPr>
          <w:ilvl w:val="0"/>
          <w:numId w:val="1007"/>
        </w:numPr>
      </w:pPr>
      <w:r>
        <w:t xml:space="preserve">Highly reliant on visitor activity; reef and island tourism are the core economic drivers</w:t>
      </w:r>
    </w:p>
    <w:p>
      <w:pPr>
        <w:pStyle w:val="Compact"/>
        <w:numPr>
          <w:ilvl w:val="0"/>
          <w:numId w:val="1007"/>
        </w:numPr>
      </w:pPr>
      <w:r>
        <w:t xml:space="preserve">Cruise ship visits have significantly increased in the Whitsunday area</w:t>
      </w:r>
    </w:p>
    <w:bookmarkEnd w:id="65"/>
    <w:bookmarkStart w:id="68" w:name="townsville-north-queensland"/>
    <w:p>
      <w:pPr>
        <w:pStyle w:val="Heading3"/>
      </w:pPr>
      <w:r>
        <w:t xml:space="preserve">6.4 Townsville / North Queensland</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tourism sales</w:t>
            </w:r>
          </w:p>
        </w:tc>
        <w:tc>
          <w:tcPr/>
          <w:p>
            <w:pPr>
              <w:pStyle w:val="Compact"/>
            </w:pPr>
            <w:r>
              <w:t xml:space="preserve">A$2,771.6 million (2023-24)</w:t>
            </w:r>
          </w:p>
        </w:tc>
      </w:tr>
      <w:tr>
        <w:tc>
          <w:tcPr/>
          <w:p>
            <w:pPr>
              <w:pStyle w:val="Compact"/>
            </w:pPr>
            <w:r>
              <w:t xml:space="preserve">Tourism value added</w:t>
            </w:r>
          </w:p>
        </w:tc>
        <w:tc>
          <w:tcPr/>
          <w:p>
            <w:pPr>
              <w:pStyle w:val="Compact"/>
            </w:pPr>
            <w:r>
              <w:t xml:space="preserve">A$1,390.1 million</w:t>
            </w:r>
          </w:p>
        </w:tc>
      </w:tr>
      <w:tr>
        <w:tc>
          <w:tcPr/>
          <w:p>
            <w:pPr>
              <w:pStyle w:val="Compact"/>
            </w:pPr>
            <w:r>
              <w:t xml:space="preserve">Tourism employment</w:t>
            </w:r>
          </w:p>
        </w:tc>
        <w:tc>
          <w:tcPr/>
          <w:p>
            <w:pPr>
              <w:pStyle w:val="Compact"/>
            </w:pPr>
            <w:r>
              <w:t xml:space="preserve">~8,000 jobs (5th largest employer in region)</w:t>
            </w:r>
          </w:p>
        </w:tc>
      </w:tr>
      <w:tr>
        <w:tc>
          <w:tcPr/>
          <w:p>
            <w:pPr>
              <w:pStyle w:val="Compact"/>
            </w:pPr>
            <w:r>
              <w:t xml:space="preserve">Visitation growth (2024)</w:t>
            </w:r>
          </w:p>
        </w:tc>
        <w:tc>
          <w:tcPr/>
          <w:p>
            <w:pPr>
              <w:pStyle w:val="Compact"/>
            </w:pPr>
            <w:r>
              <w:t xml:space="preserve">+11.7% (outperformed Cairns -5.38% and Whitsundays -2.07%)</w:t>
            </w:r>
          </w:p>
        </w:tc>
      </w:tr>
    </w:tbl>
    <w:p>
      <w:pPr>
        <w:pStyle w:val="BodyText"/>
      </w:pPr>
      <w:r>
        <w:t xml:space="preserve">Townsville has the most diversified economy of the major GBR gateway cities and is growing as an adventure/ecotourism destination. The Central GBR region (including Townsville-Whitsunday) had returned to pre-pandemic visitation levels by December 2023.</w:t>
      </w:r>
    </w:p>
    <w:p>
      <w:pPr>
        <w:pStyle w:val="BodyText"/>
      </w:pPr>
      <w:r>
        <w:t xml:space="preserve">Sources:</w:t>
      </w:r>
      <w:r>
        <w:t xml:space="preserve"> </w:t>
      </w:r>
      <w:r>
        <w:t xml:space="preserve">-</w:t>
      </w:r>
      <w:r>
        <w:t xml:space="preserve"> </w:t>
      </w:r>
      <w:hyperlink r:id="rId66">
        <w:r>
          <w:rPr>
            <w:rStyle w:val="Hyperlink"/>
          </w:rPr>
          <w:t xml:space="preserve">Townsville Enterprise — Record Tourism Growth</w:t>
        </w:r>
      </w:hyperlink>
      <w:r>
        <w:t xml:space="preserve"> </w:t>
      </w:r>
      <w:r>
        <w:t xml:space="preserve">-</w:t>
      </w:r>
      <w:r>
        <w:t xml:space="preserve"> </w:t>
      </w:r>
      <w:hyperlink r:id="rId67">
        <w:r>
          <w:rPr>
            <w:rStyle w:val="Hyperlink"/>
          </w:rPr>
          <w:t xml:space="preserve">Townsville economy.id — Tourism</w:t>
        </w:r>
      </w:hyperlink>
    </w:p>
    <w:bookmarkEnd w:id="68"/>
    <w:bookmarkStart w:id="71" w:name="X541283326edb1acb9d1a947799918d6a1a9e8ab"/>
    <w:p>
      <w:pPr>
        <w:pStyle w:val="Heading3"/>
      </w:pPr>
      <w:r>
        <w:t xml:space="preserve">6.5 Southern GBR (Bundaberg / Gladstone / Capricorn Coast)</w:t>
      </w:r>
    </w:p>
    <w:p>
      <w:pPr>
        <w:pStyle w:val="FirstParagraph"/>
      </w:pPr>
      <w:r>
        <w:t xml:space="preserve">The Southern GBR is one of Queensland’s fastest-growing tourism destinations:</w:t>
      </w:r>
    </w:p>
    <w:p>
      <w:pPr>
        <w:pStyle w:val="Compact"/>
        <w:numPr>
          <w:ilvl w:val="0"/>
          <w:numId w:val="1008"/>
        </w:numPr>
      </w:pPr>
      <w:r>
        <w:rPr>
          <w:b/>
          <w:bCs/>
        </w:rPr>
        <w:t xml:space="preserve">International visitors</w:t>
      </w:r>
      <w:r>
        <w:t xml:space="preserve">: 88,000 (YE June 2025), up 9.8% YoY</w:t>
      </w:r>
    </w:p>
    <w:p>
      <w:pPr>
        <w:pStyle w:val="Compact"/>
        <w:numPr>
          <w:ilvl w:val="0"/>
          <w:numId w:val="1008"/>
        </w:numPr>
      </w:pPr>
      <w:r>
        <w:rPr>
          <w:b/>
          <w:bCs/>
        </w:rPr>
        <w:t xml:space="preserve">International visitor nights</w:t>
      </w:r>
      <w:r>
        <w:t xml:space="preserve">: 1.95 million, up 70.2% YoY</w:t>
      </w:r>
    </w:p>
    <w:p>
      <w:pPr>
        <w:pStyle w:val="Compact"/>
        <w:numPr>
          <w:ilvl w:val="0"/>
          <w:numId w:val="1008"/>
        </w:numPr>
      </w:pPr>
      <w:r>
        <w:rPr>
          <w:b/>
          <w:bCs/>
        </w:rPr>
        <w:t xml:space="preserve">International overnight expenditure</w:t>
      </w:r>
      <w:r>
        <w:t xml:space="preserve">: A$128.4 million, up 67.1%</w:t>
      </w:r>
    </w:p>
    <w:p>
      <w:pPr>
        <w:pStyle w:val="Compact"/>
        <w:numPr>
          <w:ilvl w:val="0"/>
          <w:numId w:val="1008"/>
        </w:numPr>
      </w:pPr>
      <w:r>
        <w:rPr>
          <w:b/>
          <w:bCs/>
        </w:rPr>
        <w:t xml:space="preserve">Total domestic + international visitors</w:t>
      </w:r>
      <w:r>
        <w:t xml:space="preserve">: ~1,944,000 (YE Sep 2024)</w:t>
      </w:r>
    </w:p>
    <w:p>
      <w:pPr>
        <w:pStyle w:val="FirstParagraph"/>
      </w:pPr>
      <w:r>
        <w:rPr>
          <w:b/>
          <w:bCs/>
        </w:rPr>
        <w:t xml:space="preserve">Regional breakdown of 88,000 international visitors</w:t>
      </w:r>
      <w:r>
        <w:t xml:space="preserve">:</w:t>
      </w:r>
      <w:r>
        <w:t xml:space="preserve"> </w:t>
      </w:r>
      <w:r>
        <w:t xml:space="preserve">- Capricorn Coast (Rockhampton): 42,000</w:t>
      </w:r>
      <w:r>
        <w:t xml:space="preserve"> </w:t>
      </w:r>
      <w:r>
        <w:t xml:space="preserve">- Gladstone (incl. Agnes Water/1770): 35,000</w:t>
      </w:r>
      <w:r>
        <w:t xml:space="preserve"> </w:t>
      </w:r>
      <w:r>
        <w:t xml:space="preserve">- Bundaberg/North Burnett: 27,000</w:t>
      </w:r>
    </w:p>
    <w:p>
      <w:pPr>
        <w:pStyle w:val="BodyText"/>
      </w:pPr>
      <w:r>
        <w:t xml:space="preserve">Key international markets: UK, New Zealand, Germany, USA, France, Scandinavia.</w:t>
      </w:r>
    </w:p>
    <w:p>
      <w:pPr>
        <w:pStyle w:val="BodyText"/>
      </w:pPr>
      <w:r>
        <w:t xml:space="preserve">Sources:</w:t>
      </w:r>
      <w:r>
        <w:t xml:space="preserve"> </w:t>
      </w:r>
      <w:r>
        <w:t xml:space="preserve">-</w:t>
      </w:r>
      <w:r>
        <w:t xml:space="preserve"> </w:t>
      </w:r>
      <w:hyperlink r:id="rId69">
        <w:r>
          <w:rPr>
            <w:rStyle w:val="Hyperlink"/>
          </w:rPr>
          <w:t xml:space="preserve">Capricorn Enterprise — SGBR Tourism Hits Record Highs</w:t>
        </w:r>
      </w:hyperlink>
      <w:r>
        <w:t xml:space="preserve"> </w:t>
      </w:r>
      <w:r>
        <w:t xml:space="preserve">-</w:t>
      </w:r>
      <w:r>
        <w:t xml:space="preserve"> </w:t>
      </w:r>
      <w:hyperlink r:id="rId70">
        <w:r>
          <w:rPr>
            <w:rStyle w:val="Hyperlink"/>
          </w:rPr>
          <w:t xml:space="preserve">Bundaberg Region — Record Domestic Growth</w:t>
        </w:r>
      </w:hyperlink>
    </w:p>
    <w:p>
      <w:r>
        <w:pict>
          <v:rect style="width:0;height:1.5pt" o:hralign="center" o:hrstd="t" o:hr="t"/>
        </w:pict>
      </w:r>
    </w:p>
    <w:bookmarkEnd w:id="71"/>
    <w:bookmarkEnd w:id="72"/>
    <w:bookmarkStart w:id="79" w:name="tour-operators-and-vessels"/>
    <w:p>
      <w:pPr>
        <w:pStyle w:val="Heading2"/>
      </w:pPr>
      <w:r>
        <w:t xml:space="preserve">7. Tour Operators and Vessels</w:t>
      </w:r>
    </w:p>
    <w:bookmarkStart w:id="73" w:name="licensed-operators"/>
    <w:p>
      <w:pPr>
        <w:pStyle w:val="Heading3"/>
      </w:pPr>
      <w:r>
        <w:t xml:space="preserve">7.1 Licensed Operators</w:t>
      </w:r>
    </w:p>
    <w:p>
      <w:pPr>
        <w:pStyle w:val="Compact"/>
        <w:numPr>
          <w:ilvl w:val="0"/>
          <w:numId w:val="1009"/>
        </w:numPr>
      </w:pPr>
      <w:r>
        <w:t xml:space="preserve">In 2006, the Marine Park allowed roughly</w:t>
      </w:r>
      <w:r>
        <w:t xml:space="preserve"> </w:t>
      </w:r>
      <w:r>
        <w:rPr>
          <w:b/>
          <w:bCs/>
        </w:rPr>
        <w:t xml:space="preserve">820 operators</w:t>
      </w:r>
      <w:r>
        <w:t xml:space="preserve"> </w:t>
      </w:r>
      <w:r>
        <w:t xml:space="preserve">and</w:t>
      </w:r>
      <w:r>
        <w:t xml:space="preserve"> </w:t>
      </w:r>
      <w:r>
        <w:rPr>
          <w:b/>
          <w:bCs/>
        </w:rPr>
        <w:t xml:space="preserve">1,500 vessels and aircraft</w:t>
      </w:r>
      <w:r>
        <w:t xml:space="preserve"> </w:t>
      </w:r>
      <w:r>
        <w:t xml:space="preserve">permits</w:t>
      </w:r>
    </w:p>
    <w:p>
      <w:pPr>
        <w:pStyle w:val="Compact"/>
        <w:numPr>
          <w:ilvl w:val="0"/>
          <w:numId w:val="1009"/>
        </w:numPr>
      </w:pPr>
      <w:r>
        <w:t xml:space="preserve">Current total permit numbers not publicly reported in recent searches</w:t>
      </w:r>
    </w:p>
    <w:p>
      <w:pPr>
        <w:pStyle w:val="Compact"/>
        <w:numPr>
          <w:ilvl w:val="0"/>
          <w:numId w:val="1009"/>
        </w:numPr>
      </w:pPr>
      <w:r>
        <w:t xml:space="preserve">GBRMPA manages permits through its Permits Online system</w:t>
      </w:r>
    </w:p>
    <w:bookmarkEnd w:id="73"/>
    <w:bookmarkStart w:id="74" w:name="high-standard-tourism-operators"/>
    <w:p>
      <w:pPr>
        <w:pStyle w:val="Heading3"/>
      </w:pPr>
      <w:r>
        <w:t xml:space="preserve">7.2 High Standard Tourism Operators</w:t>
      </w:r>
    </w:p>
    <w:p>
      <w:pPr>
        <w:pStyle w:val="FirstParagraph"/>
      </w:pPr>
      <w:r>
        <w:t xml:space="preserve">The GBRMPA-certified</w:t>
      </w:r>
      <w:r>
        <w:t xml:space="preserve"> </w:t>
      </w:r>
      <w:r>
        <w:t xml:space="preserve">“High Standard Tourism Operator”</w:t>
      </w:r>
      <w:r>
        <w:t xml:space="preserve"> </w:t>
      </w:r>
      <w:r>
        <w:t xml:space="preserve">program has grown significantly: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Year</w:t>
            </w:r>
          </w:p>
        </w:tc>
        <w:tc>
          <w:tcPr/>
          <w:p>
            <w:pPr>
              <w:pStyle w:val="Compact"/>
            </w:pPr>
            <w:r>
              <w:t xml:space="preserve">High Standard Operators</w:t>
            </w:r>
          </w:p>
        </w:tc>
      </w:tr>
      <w:tr>
        <w:tc>
          <w:tcPr/>
          <w:p>
            <w:pPr>
              <w:pStyle w:val="Compact"/>
            </w:pPr>
            <w:r>
              <w:t xml:space="preserve">2004</w:t>
            </w:r>
          </w:p>
        </w:tc>
        <w:tc>
          <w:tcPr/>
          <w:p>
            <w:pPr>
              <w:pStyle w:val="Compact"/>
            </w:pPr>
            <w:r>
              <w:t xml:space="preserve">19</w:t>
            </w:r>
          </w:p>
        </w:tc>
      </w:tr>
      <w:tr>
        <w:tc>
          <w:tcPr/>
          <w:p>
            <w:pPr>
              <w:pStyle w:val="Compact"/>
            </w:pPr>
            <w:r>
              <w:t xml:space="preserve">2019</w:t>
            </w:r>
          </w:p>
        </w:tc>
        <w:tc>
          <w:tcPr/>
          <w:p>
            <w:pPr>
              <w:pStyle w:val="Compact"/>
            </w:pPr>
            <w:r>
              <w:t xml:space="preserve">~64</w:t>
            </w:r>
          </w:p>
        </w:tc>
      </w:tr>
      <w:tr>
        <w:tc>
          <w:tcPr/>
          <w:p>
            <w:pPr>
              <w:pStyle w:val="Compact"/>
            </w:pPr>
            <w:r>
              <w:t xml:space="preserve">2023</w:t>
            </w:r>
          </w:p>
        </w:tc>
        <w:tc>
          <w:tcPr/>
          <w:p>
            <w:pPr>
              <w:pStyle w:val="Compact"/>
            </w:pPr>
            <w:r>
              <w:t xml:space="preserve">72 (+13% since 2019)</w:t>
            </w:r>
          </w:p>
        </w:tc>
      </w:tr>
    </w:tbl>
    <w:p>
      <w:pPr>
        <w:pStyle w:val="BodyText"/>
      </w:pPr>
      <w:r>
        <w:t xml:space="preserve">These operators carry approximately</w:t>
      </w:r>
      <w:r>
        <w:t xml:space="preserve"> </w:t>
      </w:r>
      <w:r>
        <w:rPr>
          <w:b/>
          <w:bCs/>
        </w:rPr>
        <w:t xml:space="preserve">63% of all tourists</w:t>
      </w:r>
      <w:r>
        <w:t xml:space="preserve"> </w:t>
      </w:r>
      <w:r>
        <w:t xml:space="preserve">visiting the Reef, despite being a small fraction of total operators.</w:t>
      </w:r>
    </w:p>
    <w:bookmarkEnd w:id="74"/>
    <w:bookmarkStart w:id="78" w:name="cruise-ships"/>
    <w:p>
      <w:pPr>
        <w:pStyle w:val="Heading3"/>
      </w:pPr>
      <w:r>
        <w:t xml:space="preserve">7.3 Cruise Ships</w:t>
      </w:r>
    </w:p>
    <w:p>
      <w:pPr>
        <w:pStyle w:val="Compact"/>
        <w:numPr>
          <w:ilvl w:val="0"/>
          <w:numId w:val="1010"/>
        </w:numPr>
      </w:pPr>
      <w:r>
        <w:t xml:space="preserve">34 designated anchorages along the length of the GBR</w:t>
      </w:r>
    </w:p>
    <w:p>
      <w:pPr>
        <w:pStyle w:val="Compact"/>
        <w:numPr>
          <w:ilvl w:val="0"/>
          <w:numId w:val="1010"/>
        </w:numPr>
      </w:pPr>
      <w:r>
        <w:t xml:space="preserve">9 anchorages in the Remote Natural Area cater for smaller cruise ships (70-120 metres, 120-150 passengers)</w:t>
      </w:r>
    </w:p>
    <w:p>
      <w:pPr>
        <w:pStyle w:val="Compact"/>
        <w:numPr>
          <w:ilvl w:val="0"/>
          <w:numId w:val="1010"/>
        </w:numPr>
      </w:pPr>
      <w:r>
        <w:t xml:space="preserve">Over 103 cruise ship permits issued in the last 5 years</w:t>
      </w:r>
    </w:p>
    <w:p>
      <w:pPr>
        <w:pStyle w:val="Compact"/>
        <w:numPr>
          <w:ilvl w:val="0"/>
          <w:numId w:val="1010"/>
        </w:numPr>
      </w:pPr>
      <w:r>
        <w:t xml:space="preserve">Cruise ship visits have significantly increased, particularly in the Whitsundays</w:t>
      </w:r>
    </w:p>
    <w:p>
      <w:pPr>
        <w:pStyle w:val="FirstParagraph"/>
      </w:pPr>
      <w:r>
        <w:t xml:space="preserve">Sources:</w:t>
      </w:r>
      <w:r>
        <w:t xml:space="preserve"> </w:t>
      </w:r>
      <w:r>
        <w:t xml:space="preserve">-</w:t>
      </w:r>
      <w:r>
        <w:t xml:space="preserve"> </w:t>
      </w:r>
      <w:hyperlink r:id="rId75">
        <w:r>
          <w:rPr>
            <w:rStyle w:val="Hyperlink"/>
          </w:rPr>
          <w:t xml:space="preserve">GBRMPA — Choosing a High Standard Tourism Operation</w:t>
        </w:r>
      </w:hyperlink>
      <w:r>
        <w:t xml:space="preserve"> </w:t>
      </w:r>
      <w:r>
        <w:t xml:space="preserve">-</w:t>
      </w:r>
      <w:r>
        <w:t xml:space="preserve"> </w:t>
      </w:r>
      <w:hyperlink r:id="rId76">
        <w:r>
          <w:rPr>
            <w:rStyle w:val="Hyperlink"/>
          </w:rPr>
          <w:t xml:space="preserve">GBRMPA — Cruise Ships</w:t>
        </w:r>
      </w:hyperlink>
      <w:r>
        <w:t xml:space="preserve"> </w:t>
      </w:r>
      <w:r>
        <w:t xml:space="preserve">-</w:t>
      </w:r>
      <w:r>
        <w:t xml:space="preserve"> </w:t>
      </w:r>
      <w:hyperlink r:id="rId77">
        <w:r>
          <w:rPr>
            <w:rStyle w:val="Hyperlink"/>
          </w:rPr>
          <w:t xml:space="preserve">GBRMPA — Tourism Industry</w:t>
        </w:r>
      </w:hyperlink>
    </w:p>
    <w:p>
      <w:r>
        <w:pict>
          <v:rect style="width:0;height:1.5pt" o:hralign="center" o:hrstd="t" o:hr="t"/>
        </w:pict>
      </w:r>
    </w:p>
    <w:bookmarkEnd w:id="78"/>
    <w:bookmarkEnd w:id="79"/>
    <w:bookmarkStart w:id="91" w:name="bleaching-events-and-tourism-impacts"/>
    <w:p>
      <w:pPr>
        <w:pStyle w:val="Heading2"/>
      </w:pPr>
      <w:r>
        <w:t xml:space="preserve">8. Bleaching Events and Tourism Impacts</w:t>
      </w:r>
    </w:p>
    <w:bookmarkStart w:id="83" w:name="timeline-of-mass-bleaching-events"/>
    <w:p>
      <w:pPr>
        <w:pStyle w:val="Heading3"/>
      </w:pPr>
      <w:r>
        <w:t xml:space="preserve">8.1 Timeline of Mass Bleaching Events</w:t>
      </w:r>
    </w:p>
    <w:tbl>
      <w:tblPr>
        <w:tblStyle w:val="Table"/>
        <w:tblW w:type="pct" w:w="5000"/>
        <w:tblLayout w:type="fixed"/>
        <w:tblLook w:firstRow="1" w:lastRow="0" w:firstColumn="0" w:lastColumn="0" w:noHBand="0" w:noVBand="0" w:val="0020"/>
      </w:tblPr>
      <w:tblGrid>
        <w:gridCol w:w="2066"/>
        <w:gridCol w:w="3443"/>
        <w:gridCol w:w="2410"/>
      </w:tblGrid>
      <w:tr>
        <w:trPr>
          <w:tblHeader w:val="on"/>
        </w:trPr>
        <w:tc>
          <w:tcPr/>
          <w:p>
            <w:pPr>
              <w:pStyle w:val="Compact"/>
            </w:pPr>
            <w:r>
              <w:t xml:space="preserve">Year</w:t>
            </w:r>
          </w:p>
        </w:tc>
        <w:tc>
          <w:tcPr/>
          <w:p>
            <w:pPr>
              <w:pStyle w:val="Compact"/>
            </w:pPr>
            <w:r>
              <w:t xml:space="preserve">Severity</w:t>
            </w:r>
          </w:p>
        </w:tc>
        <w:tc>
          <w:tcPr/>
          <w:p>
            <w:pPr>
              <w:pStyle w:val="Compact"/>
            </w:pPr>
            <w:r>
              <w:t xml:space="preserve">Notes</w:t>
            </w:r>
          </w:p>
        </w:tc>
      </w:tr>
      <w:tr>
        <w:tc>
          <w:tcPr/>
          <w:p>
            <w:pPr>
              <w:pStyle w:val="Compact"/>
            </w:pPr>
            <w:r>
              <w:t xml:space="preserve">1998</w:t>
            </w:r>
          </w:p>
        </w:tc>
        <w:tc>
          <w:tcPr/>
          <w:p>
            <w:pPr>
              <w:pStyle w:val="Compact"/>
            </w:pPr>
            <w:r>
              <w:t xml:space="preserve">Severe</w:t>
            </w:r>
          </w:p>
        </w:tc>
        <w:tc>
          <w:tcPr/>
          <w:p>
            <w:pPr>
              <w:pStyle w:val="Compact"/>
            </w:pPr>
            <w:r>
              <w:t xml:space="preserve">First documented mass bleaching</w:t>
            </w:r>
          </w:p>
        </w:tc>
      </w:tr>
      <w:tr>
        <w:tc>
          <w:tcPr/>
          <w:p>
            <w:pPr>
              <w:pStyle w:val="Compact"/>
            </w:pPr>
            <w:r>
              <w:t xml:space="preserve">2002</w:t>
            </w:r>
          </w:p>
        </w:tc>
        <w:tc>
          <w:tcPr/>
          <w:p>
            <w:pPr>
              <w:pStyle w:val="Compact"/>
            </w:pPr>
            <w:r>
              <w:t xml:space="preserve">Severe</w:t>
            </w:r>
          </w:p>
        </w:tc>
        <w:tc>
          <w:tcPr/>
          <w:p>
            <w:pPr>
              <w:pStyle w:val="Compact"/>
            </w:pPr>
            <w:r>
              <w:t xml:space="preserve">Second mass bleaching</w:t>
            </w:r>
          </w:p>
        </w:tc>
      </w:tr>
      <w:tr>
        <w:tc>
          <w:tcPr/>
          <w:p>
            <w:pPr>
              <w:pStyle w:val="Compact"/>
            </w:pPr>
            <w:r>
              <w:t xml:space="preserve">2016</w:t>
            </w:r>
          </w:p>
        </w:tc>
        <w:tc>
          <w:tcPr/>
          <w:p>
            <w:pPr>
              <w:pStyle w:val="Compact"/>
            </w:pPr>
            <w:r>
              <w:t xml:space="preserve">Catastrophic</w:t>
            </w:r>
          </w:p>
        </w:tc>
        <w:tc>
          <w:tcPr/>
          <w:p>
            <w:pPr>
              <w:pStyle w:val="Compact"/>
            </w:pPr>
            <w:r>
              <w:t xml:space="preserve">El Nino; &gt;50% shallow-water coral mortality (combined with 2017)</w:t>
            </w:r>
          </w:p>
        </w:tc>
      </w:tr>
      <w:tr>
        <w:tc>
          <w:tcPr/>
          <w:p>
            <w:pPr>
              <w:pStyle w:val="Compact"/>
            </w:pPr>
            <w:r>
              <w:t xml:space="preserve">2017</w:t>
            </w:r>
          </w:p>
        </w:tc>
        <w:tc>
          <w:tcPr/>
          <w:p>
            <w:pPr>
              <w:pStyle w:val="Compact"/>
            </w:pPr>
            <w:r>
              <w:t xml:space="preserve">Severe</w:t>
            </w:r>
          </w:p>
        </w:tc>
        <w:tc>
          <w:tcPr/>
          <w:p>
            <w:pPr>
              <w:pStyle w:val="Compact"/>
            </w:pPr>
            <w:r>
              <w:t xml:space="preserve">Back-to-back with 2016; unprecedented consecutive events</w:t>
            </w:r>
          </w:p>
        </w:tc>
      </w:tr>
      <w:tr>
        <w:tc>
          <w:tcPr/>
          <w:p>
            <w:pPr>
              <w:pStyle w:val="Compact"/>
            </w:pPr>
            <w:r>
              <w:t xml:space="preserve">2020</w:t>
            </w:r>
          </w:p>
        </w:tc>
        <w:tc>
          <w:tcPr/>
          <w:p>
            <w:pPr>
              <w:pStyle w:val="Compact"/>
            </w:pPr>
            <w:r>
              <w:t xml:space="preserve">Significant</w:t>
            </w:r>
          </w:p>
        </w:tc>
        <w:tc>
          <w:tcPr/>
          <w:p>
            <w:pPr>
              <w:pStyle w:val="Compact"/>
            </w:pPr>
            <w:r>
              <w:t xml:space="preserve">Widespread but lower mortality than 2016-17</w:t>
            </w:r>
          </w:p>
        </w:tc>
      </w:tr>
      <w:tr>
        <w:tc>
          <w:tcPr/>
          <w:p>
            <w:pPr>
              <w:pStyle w:val="Compact"/>
            </w:pPr>
            <w:r>
              <w:t xml:space="preserve">2022</w:t>
            </w:r>
          </w:p>
        </w:tc>
        <w:tc>
          <w:tcPr/>
          <w:p>
            <w:pPr>
              <w:pStyle w:val="Compact"/>
            </w:pPr>
            <w:r>
              <w:t xml:space="preserve">Significant</w:t>
            </w:r>
          </w:p>
        </w:tc>
        <w:tc>
          <w:tcPr/>
          <w:p>
            <w:pPr>
              <w:pStyle w:val="Compact"/>
            </w:pPr>
            <w:r>
              <w:t xml:space="preserve">First bleaching during La Nina conditions</w:t>
            </w:r>
          </w:p>
        </w:tc>
      </w:tr>
      <w:tr>
        <w:tc>
          <w:tcPr/>
          <w:p>
            <w:pPr>
              <w:pStyle w:val="Compact"/>
            </w:pPr>
            <w:r>
              <w:t xml:space="preserve">2024</w:t>
            </w:r>
          </w:p>
        </w:tc>
        <w:tc>
          <w:tcPr/>
          <w:p>
            <w:pPr>
              <w:pStyle w:val="Compact"/>
            </w:pPr>
            <w:r>
              <w:t xml:space="preserve">Most extensive ever</w:t>
            </w:r>
          </w:p>
        </w:tc>
        <w:tc>
          <w:tcPr/>
          <w:p>
            <w:pPr>
              <w:pStyle w:val="Compact"/>
            </w:pPr>
            <w:r>
              <w:t xml:space="preserve">Most spatially extensive bleaching recorded; hottest GBR waters in 400+ years</w:t>
            </w:r>
          </w:p>
        </w:tc>
      </w:tr>
      <w:tr>
        <w:tc>
          <w:tcPr/>
          <w:p>
            <w:pPr>
              <w:pStyle w:val="Compact"/>
            </w:pPr>
            <w:r>
              <w:t xml:space="preserve">2025</w:t>
            </w:r>
          </w:p>
        </w:tc>
        <w:tc>
          <w:tcPr/>
          <w:p>
            <w:pPr>
              <w:pStyle w:val="Compact"/>
            </w:pPr>
            <w:r>
              <w:t xml:space="preserve">Widespread</w:t>
            </w:r>
          </w:p>
        </w:tc>
        <w:tc>
          <w:tcPr/>
          <w:p>
            <w:pPr>
              <w:pStyle w:val="Compact"/>
            </w:pPr>
            <w:r>
              <w:t xml:space="preserve">Second consecutive year (like 2016-17); 6th event since 2016</w:t>
            </w:r>
          </w:p>
        </w:tc>
      </w:tr>
    </w:tbl>
    <w:p>
      <w:pPr>
        <w:pStyle w:val="BodyText"/>
      </w:pPr>
      <w:r>
        <w:t xml:space="preserve">The average interval between bleaching events has</w:t>
      </w:r>
      <w:r>
        <w:t xml:space="preserve"> </w:t>
      </w:r>
      <w:r>
        <w:rPr>
          <w:b/>
          <w:bCs/>
        </w:rPr>
        <w:t xml:space="preserve">halved</w:t>
      </w:r>
      <w:r>
        <w:t xml:space="preserve"> </w:t>
      </w:r>
      <w:r>
        <w:t xml:space="preserve">since the 1980s. From 2002 to 2016 there was a 14-year reprieve; since 2016, events have occurred in 2016, 2017, 2020, 2022, 2024, and 2025 – six events in nine years.</w:t>
      </w:r>
    </w:p>
    <w:p>
      <w:pPr>
        <w:pStyle w:val="BodyText"/>
      </w:pPr>
      <w:r>
        <w:t xml:space="preserve">Sources:</w:t>
      </w:r>
      <w:r>
        <w:t xml:space="preserve"> </w:t>
      </w:r>
      <w:r>
        <w:t xml:space="preserve">-</w:t>
      </w:r>
      <w:r>
        <w:t xml:space="preserve"> </w:t>
      </w:r>
      <w:hyperlink r:id="rId80">
        <w:r>
          <w:rPr>
            <w:rStyle w:val="Hyperlink"/>
          </w:rPr>
          <w:t xml:space="preserve">AIMS — Coral Bleaching Events</w:t>
        </w:r>
      </w:hyperlink>
      <w:r>
        <w:t xml:space="preserve"> </w:t>
      </w:r>
      <w:r>
        <w:t xml:space="preserve">-</w:t>
      </w:r>
      <w:r>
        <w:t xml:space="preserve"> </w:t>
      </w:r>
      <w:hyperlink r:id="rId81">
        <w:r>
          <w:rPr>
            <w:rStyle w:val="Hyperlink"/>
          </w:rPr>
          <w:t xml:space="preserve">WWF — 5th Mass Bleaching in 8 Years</w:t>
        </w:r>
      </w:hyperlink>
      <w:r>
        <w:t xml:space="preserve"> </w:t>
      </w:r>
      <w:r>
        <w:t xml:space="preserve">-</w:t>
      </w:r>
      <w:r>
        <w:t xml:space="preserve"> </w:t>
      </w:r>
      <w:hyperlink r:id="rId82">
        <w:r>
          <w:rPr>
            <w:rStyle w:val="Hyperlink"/>
          </w:rPr>
          <w:t xml:space="preserve">GBRF — Coral Bleaching 2026</w:t>
        </w:r>
      </w:hyperlink>
    </w:p>
    <w:bookmarkEnd w:id="83"/>
    <w:bookmarkStart w:id="85" w:name="has-bleaching-affected-tourism-numbers"/>
    <w:p>
      <w:pPr>
        <w:pStyle w:val="Heading3"/>
      </w:pPr>
      <w:r>
        <w:t xml:space="preserve">8.2 Has Bleaching Affected Tourism Numbers?</w:t>
      </w:r>
    </w:p>
    <w:p>
      <w:pPr>
        <w:pStyle w:val="FirstParagraph"/>
      </w:pPr>
      <w:r>
        <w:rPr>
          <w:b/>
          <w:bCs/>
        </w:rPr>
        <w:t xml:space="preserve">The evidence is nuanced</w:t>
      </w:r>
      <w:r>
        <w:t xml:space="preserve">:</w:t>
      </w:r>
    </w:p>
    <w:p>
      <w:pPr>
        <w:numPr>
          <w:ilvl w:val="0"/>
          <w:numId w:val="1011"/>
        </w:numPr>
      </w:pPr>
      <w:r>
        <w:rPr>
          <w:b/>
          <w:bCs/>
        </w:rPr>
        <w:t xml:space="preserve">Post-2016 plateau</w:t>
      </w:r>
      <w:r>
        <w:t xml:space="preserve">: An increasing trend in visitor numbers</w:t>
      </w:r>
      <w:r>
        <w:t xml:space="preserve"> </w:t>
      </w:r>
      <w:r>
        <w:rPr>
          <w:b/>
          <w:bCs/>
        </w:rPr>
        <w:t xml:space="preserve">levelled off after the severe 2016 bleaching</w:t>
      </w:r>
      <w:r>
        <w:t xml:space="preserve">, with numbers beginning a slow decline thereafter. The 2017 peak of ~2.62M was followed by declines to ~2.4M by 2019.</w:t>
      </w:r>
    </w:p>
    <w:p>
      <w:pPr>
        <w:numPr>
          <w:ilvl w:val="0"/>
          <w:numId w:val="1011"/>
        </w:numPr>
      </w:pPr>
      <w:r>
        <w:rPr>
          <w:b/>
          <w:bCs/>
        </w:rPr>
        <w:t xml:space="preserve">Quantified impact</w:t>
      </w:r>
      <w:r>
        <w:t xml:space="preserve">: Following major bleaching events, tourist numbers decreased by</w:t>
      </w:r>
      <w:r>
        <w:t xml:space="preserve"> </w:t>
      </w:r>
      <w:r>
        <w:rPr>
          <w:b/>
          <w:bCs/>
        </w:rPr>
        <w:t xml:space="preserve">10-20%</w:t>
      </w:r>
      <w:r>
        <w:t xml:space="preserve">, resulting in economic losses exceeding A$1 billion.</w:t>
      </w:r>
    </w:p>
    <w:p>
      <w:pPr>
        <w:numPr>
          <w:ilvl w:val="0"/>
          <w:numId w:val="1011"/>
        </w:numPr>
      </w:pPr>
      <w:r>
        <w:rPr>
          <w:b/>
          <w:bCs/>
        </w:rPr>
        <w:t xml:space="preserve">Satisfaction decline</w:t>
      </w:r>
      <w:r>
        <w:t xml:space="preserve">: A study of 4,681 tourists comparing 2013 and 2017 found:</w:t>
      </w:r>
    </w:p>
    <w:p>
      <w:pPr>
        <w:pStyle w:val="Compact"/>
        <w:numPr>
          <w:ilvl w:val="1"/>
          <w:numId w:val="1012"/>
        </w:numPr>
      </w:pPr>
      <w:r>
        <w:t xml:space="preserve">Overall satisfaction scores were</w:t>
      </w:r>
      <w:r>
        <w:t xml:space="preserve"> </w:t>
      </w:r>
      <w:r>
        <w:rPr>
          <w:b/>
          <w:bCs/>
        </w:rPr>
        <w:t xml:space="preserve">significantly lower</w:t>
      </w:r>
      <w:r>
        <w:t xml:space="preserve"> </w:t>
      </w:r>
      <w:r>
        <w:t xml:space="preserve">in 2017</w:t>
      </w:r>
    </w:p>
    <w:p>
      <w:pPr>
        <w:pStyle w:val="Compact"/>
        <w:numPr>
          <w:ilvl w:val="1"/>
          <w:numId w:val="1012"/>
        </w:numPr>
      </w:pPr>
      <w:r>
        <w:t xml:space="preserve">Ratings of aesthetic beauty being</w:t>
      </w:r>
      <w:r>
        <w:t xml:space="preserve"> </w:t>
      </w:r>
      <w:r>
        <w:t xml:space="preserve">“outstanding”</w:t>
      </w:r>
      <w:r>
        <w:t xml:space="preserve"> </w:t>
      </w:r>
      <w:r>
        <w:t xml:space="preserve">declined</w:t>
      </w:r>
    </w:p>
    <w:p>
      <w:pPr>
        <w:pStyle w:val="Compact"/>
        <w:numPr>
          <w:ilvl w:val="1"/>
          <w:numId w:val="1012"/>
        </w:numPr>
      </w:pPr>
      <w:r>
        <w:t xml:space="preserve">Agreement that</w:t>
      </w:r>
      <w:r>
        <w:t xml:space="preserve"> </w:t>
      </w:r>
      <w:r>
        <w:t xml:space="preserve">“coral reefs were in good condition”</w:t>
      </w:r>
      <w:r>
        <w:t xml:space="preserve"> </w:t>
      </w:r>
      <w:r>
        <w:t xml:space="preserve">declined</w:t>
      </w:r>
    </w:p>
    <w:p>
      <w:pPr>
        <w:pStyle w:val="Compact"/>
        <w:numPr>
          <w:ilvl w:val="1"/>
          <w:numId w:val="1012"/>
        </w:numPr>
      </w:pPr>
      <w:r>
        <w:t xml:space="preserve">Optimism about the reef’s future declined significantly</w:t>
      </w:r>
    </w:p>
    <w:p>
      <w:pPr>
        <w:pStyle w:val="Compact"/>
        <w:numPr>
          <w:ilvl w:val="1"/>
          <w:numId w:val="1012"/>
        </w:numPr>
      </w:pPr>
      <w:r>
        <w:t xml:space="preserve">Feelings of self-efficacy (ability to help) declined</w:t>
      </w:r>
    </w:p>
    <w:p>
      <w:pPr>
        <w:numPr>
          <w:ilvl w:val="0"/>
          <w:numId w:val="1011"/>
        </w:numPr>
      </w:pPr>
      <w:r>
        <w:rPr>
          <w:b/>
          <w:bCs/>
        </w:rPr>
        <w:t xml:space="preserve">However</w:t>
      </w:r>
      <w:r>
        <w:t xml:space="preserve">: The COVID pandemic dominates the 2020-2022 data, making it impossible to isolate bleaching effects during that period. The 2024 recovery to 98% of 2019 levels suggests bleaching has not (yet) caused a permanent tourism downturn.</w:t>
      </w:r>
    </w:p>
    <w:p>
      <w:pPr>
        <w:pStyle w:val="FirstParagraph"/>
      </w:pPr>
      <w:r>
        <w:t xml:space="preserve">Source:</w:t>
      </w:r>
      <w:r>
        <w:t xml:space="preserve"> </w:t>
      </w:r>
      <w:hyperlink r:id="rId84">
        <w:r>
          <w:rPr>
            <w:rStyle w:val="Hyperlink"/>
          </w:rPr>
          <w:t xml:space="preserve">Nature Climate Change — Shifts in tourists’ sentiments following mass coral bleaching</w:t>
        </w:r>
      </w:hyperlink>
    </w:p>
    <w:bookmarkEnd w:id="85"/>
    <w:bookmarkStart w:id="90" w:name="tourist-perceptions-of-reef-health"/>
    <w:p>
      <w:pPr>
        <w:pStyle w:val="Heading3"/>
      </w:pPr>
      <w:r>
        <w:t xml:space="preserve">8.3 Tourist Perceptions of Reef Health</w:t>
      </w:r>
    </w:p>
    <w:p>
      <w:pPr>
        <w:pStyle w:val="FirstParagraph"/>
      </w:pPr>
      <w:r>
        <w:t xml:space="preserve">From the CSIRO/SELTMP surveys:</w:t>
      </w:r>
    </w:p>
    <w:p>
      <w:pPr>
        <w:pStyle w:val="Compact"/>
        <w:numPr>
          <w:ilvl w:val="0"/>
          <w:numId w:val="1013"/>
        </w:numPr>
      </w:pPr>
      <w:r>
        <w:t xml:space="preserve">Key stakeholders (fishers, tourism operators, coastal residents) identified</w:t>
      </w:r>
      <w:r>
        <w:t xml:space="preserve"> </w:t>
      </w:r>
      <w:r>
        <w:rPr>
          <w:b/>
          <w:bCs/>
        </w:rPr>
        <w:t xml:space="preserve">climate change as the greatest threat</w:t>
      </w:r>
      <w:r>
        <w:t xml:space="preserve"> </w:t>
      </w:r>
      <w:r>
        <w:t xml:space="preserve">to the GBR, followed by pollution and fishing</w:t>
      </w:r>
    </w:p>
    <w:p>
      <w:pPr>
        <w:pStyle w:val="Compact"/>
        <w:numPr>
          <w:ilvl w:val="0"/>
          <w:numId w:val="1013"/>
        </w:numPr>
      </w:pPr>
      <w:r>
        <w:t xml:space="preserve">76% of tourism operators feel optimistic about the future of their business</w:t>
      </w:r>
    </w:p>
    <w:p>
      <w:pPr>
        <w:pStyle w:val="Compact"/>
        <w:numPr>
          <w:ilvl w:val="0"/>
          <w:numId w:val="1013"/>
        </w:numPr>
      </w:pPr>
      <w:r>
        <w:t xml:space="preserve">46% of commercial fishers feel optimistic about their business future</w:t>
      </w:r>
    </w:p>
    <w:p>
      <w:pPr>
        <w:pStyle w:val="Compact"/>
        <w:numPr>
          <w:ilvl w:val="0"/>
          <w:numId w:val="1013"/>
        </w:numPr>
      </w:pPr>
      <w:r>
        <w:t xml:space="preserve">“Reef-grief”</w:t>
      </w:r>
      <w:r>
        <w:t xml:space="preserve"> </w:t>
      </w:r>
      <w:r>
        <w:t xml:space="preserve">has been documented among both residents and tourists</w:t>
      </w:r>
    </w:p>
    <w:p>
      <w:pPr>
        <w:pStyle w:val="Compact"/>
        <w:numPr>
          <w:ilvl w:val="0"/>
          <w:numId w:val="1013"/>
        </w:numPr>
      </w:pPr>
      <w:r>
        <w:t xml:space="preserve">Tourists report a growing sense of helplessness about the reef’s future</w:t>
      </w:r>
    </w:p>
    <w:p>
      <w:pPr>
        <w:pStyle w:val="FirstParagraph"/>
      </w:pPr>
      <w:r>
        <w:t xml:space="preserve">Sources:</w:t>
      </w:r>
      <w:r>
        <w:t xml:space="preserve"> </w:t>
      </w:r>
      <w:r>
        <w:t xml:space="preserve">-</w:t>
      </w:r>
      <w:r>
        <w:t xml:space="preserve"> </w:t>
      </w:r>
      <w:hyperlink r:id="rId86">
        <w:r>
          <w:rPr>
            <w:rStyle w:val="Hyperlink"/>
          </w:rPr>
          <w:t xml:space="preserve">CSIRO — SELTMP</w:t>
        </w:r>
      </w:hyperlink>
      <w:r>
        <w:t xml:space="preserve"> </w:t>
      </w:r>
      <w:r>
        <w:t xml:space="preserve">-</w:t>
      </w:r>
      <w:r>
        <w:t xml:space="preserve"> </w:t>
      </w:r>
      <w:hyperlink r:id="rId87">
        <w:r>
          <w:rPr>
            <w:rStyle w:val="Hyperlink"/>
          </w:rPr>
          <w:t xml:space="preserve">CSIRO — Reeflections: Surveying Residents</w:t>
        </w:r>
      </w:hyperlink>
      <w:r>
        <w:t xml:space="preserve"> </w:t>
      </w:r>
      <w:r>
        <w:t xml:space="preserve">-</w:t>
      </w:r>
      <w:r>
        <w:t xml:space="preserve"> </w:t>
      </w:r>
      <w:hyperlink r:id="rId88">
        <w:r>
          <w:rPr>
            <w:rStyle w:val="Hyperlink"/>
          </w:rPr>
          <w:t xml:space="preserve">eAtlas — Tourism in the GBR (SELTMP)</w:t>
        </w:r>
      </w:hyperlink>
      <w:r>
        <w:t xml:space="preserve"> </w:t>
      </w:r>
      <w:r>
        <w:t xml:space="preserve">-</w:t>
      </w:r>
      <w:r>
        <w:t xml:space="preserve"> </w:t>
      </w:r>
      <w:hyperlink r:id="rId89">
        <w:r>
          <w:rPr>
            <w:rStyle w:val="Hyperlink"/>
          </w:rPr>
          <w:t xml:space="preserve">SELTMP — Changes in GBR Tourism 2013-2017 (PDF)</w:t>
        </w:r>
      </w:hyperlink>
    </w:p>
    <w:p>
      <w:r>
        <w:pict>
          <v:rect style="width:0;height:1.5pt" o:hralign="center" o:hrstd="t" o:hr="t"/>
        </w:pict>
      </w:r>
    </w:p>
    <w:bookmarkEnd w:id="90"/>
    <w:bookmarkEnd w:id="91"/>
    <w:bookmarkStart w:id="98" w:name="last-chance-tourism"/>
    <w:p>
      <w:pPr>
        <w:pStyle w:val="Heading2"/>
      </w:pPr>
      <w:r>
        <w:t xml:space="preserve">9.</w:t>
      </w:r>
      <w:r>
        <w:t xml:space="preserve"> </w:t>
      </w:r>
      <w:r>
        <w:t xml:space="preserve">“Last Chance Tourism”</w:t>
      </w:r>
    </w:p>
    <w:bookmarkStart w:id="92" w:name="the-phenomenon"/>
    <w:p>
      <w:pPr>
        <w:pStyle w:val="Heading3"/>
      </w:pPr>
      <w:r>
        <w:t xml:space="preserve">9.1 The Phenomenon</w:t>
      </w:r>
    </w:p>
    <w:p>
      <w:pPr>
        <w:pStyle w:val="FirstParagraph"/>
      </w:pPr>
      <w:r>
        <w:t xml:space="preserve">The GBR has been explicitly identified in academic literature as a</w:t>
      </w:r>
      <w:r>
        <w:t xml:space="preserve"> </w:t>
      </w:r>
      <w:r>
        <w:t xml:space="preserve">“last chance tourism”</w:t>
      </w:r>
      <w:r>
        <w:t xml:space="preserve"> </w:t>
      </w:r>
      <w:r>
        <w:t xml:space="preserve">destination – a place tourists travel to experience before it disappears. This concept is also called</w:t>
      </w:r>
      <w:r>
        <w:t xml:space="preserve"> </w:t>
      </w:r>
      <w:r>
        <w:t xml:space="preserve">“disappearing tourism,”</w:t>
      </w:r>
      <w:r>
        <w:t xml:space="preserve"> </w:t>
      </w:r>
      <w:r>
        <w:t xml:space="preserve">“doom tourism,”</w:t>
      </w:r>
      <w:r>
        <w:t xml:space="preserve"> </w:t>
      </w:r>
      <w:r>
        <w:t xml:space="preserve">or</w:t>
      </w:r>
      <w:r>
        <w:t xml:space="preserve"> </w:t>
      </w:r>
      <w:r>
        <w:t xml:space="preserve">“see it before it’s gone”</w:t>
      </w:r>
      <w:r>
        <w:t xml:space="preserve"> </w:t>
      </w:r>
      <w:r>
        <w:t xml:space="preserve">tourism.</w:t>
      </w:r>
    </w:p>
    <w:bookmarkEnd w:id="92"/>
    <w:bookmarkStart w:id="93" w:name="the-evidence"/>
    <w:p>
      <w:pPr>
        <w:pStyle w:val="Heading3"/>
      </w:pPr>
      <w:r>
        <w:t xml:space="preserve">9.2 The Evidence</w:t>
      </w:r>
    </w:p>
    <w:p>
      <w:pPr>
        <w:pStyle w:val="Compact"/>
        <w:numPr>
          <w:ilvl w:val="0"/>
          <w:numId w:val="1014"/>
        </w:numPr>
      </w:pPr>
      <w:r>
        <w:rPr>
          <w:b/>
          <w:bCs/>
        </w:rPr>
        <w:t xml:space="preserve">69% of tourists</w:t>
      </w:r>
      <w:r>
        <w:t xml:space="preserve"> </w:t>
      </w:r>
      <w:r>
        <w:t xml:space="preserve">surveyed were either</w:t>
      </w:r>
      <w:r>
        <w:t xml:space="preserve"> </w:t>
      </w:r>
      <w:r>
        <w:t xml:space="preserve">“very”</w:t>
      </w:r>
      <w:r>
        <w:t xml:space="preserve"> </w:t>
      </w:r>
      <w:r>
        <w:t xml:space="preserve">or</w:t>
      </w:r>
      <w:r>
        <w:t xml:space="preserve"> </w:t>
      </w:r>
      <w:r>
        <w:t xml:space="preserve">“extremely”</w:t>
      </w:r>
      <w:r>
        <w:t xml:space="preserve"> </w:t>
      </w:r>
      <w:r>
        <w:t xml:space="preserve">motivated to see the reef before it was gone (Piggott-McKellar &amp; McNamara, 2017)</w:t>
      </w:r>
    </w:p>
    <w:p>
      <w:pPr>
        <w:pStyle w:val="Compact"/>
        <w:numPr>
          <w:ilvl w:val="0"/>
          <w:numId w:val="1014"/>
        </w:numPr>
      </w:pPr>
      <w:r>
        <w:t xml:space="preserve">Two-thirds of GBR tourists want to</w:t>
      </w:r>
      <w:r>
        <w:t xml:space="preserve"> </w:t>
      </w:r>
      <w:r>
        <w:t xml:space="preserve">“see it before it’s gone”</w:t>
      </w:r>
    </w:p>
    <w:p>
      <w:pPr>
        <w:pStyle w:val="Compact"/>
        <w:numPr>
          <w:ilvl w:val="0"/>
          <w:numId w:val="1014"/>
        </w:numPr>
      </w:pPr>
      <w:r>
        <w:t xml:space="preserve">This creates a paradox: decline may</w:t>
      </w:r>
      <w:r>
        <w:t xml:space="preserve"> </w:t>
      </w:r>
      <w:r>
        <w:rPr>
          <w:b/>
          <w:bCs/>
        </w:rPr>
        <w:t xml:space="preserve">boost short-term visitation</w:t>
      </w:r>
      <w:r>
        <w:t xml:space="preserve"> </w:t>
      </w:r>
      <w:r>
        <w:t xml:space="preserve">while accelerating long-term degradation through increased pressure</w:t>
      </w:r>
    </w:p>
    <w:bookmarkEnd w:id="93"/>
    <w:bookmarkStart w:id="97" w:name="the-paradox"/>
    <w:p>
      <w:pPr>
        <w:pStyle w:val="Heading3"/>
      </w:pPr>
      <w:r>
        <w:t xml:space="preserve">9.3 The Paradox</w:t>
      </w:r>
    </w:p>
    <w:p>
      <w:pPr>
        <w:pStyle w:val="FirstParagraph"/>
      </w:pPr>
      <w:r>
        <w:t xml:space="preserve">Last-chance tourism creates a self-reinforcing cycle:</w:t>
      </w:r>
      <w:r>
        <w:t xml:space="preserve"> </w:t>
      </w:r>
      <w:r>
        <w:t xml:space="preserve">1. Media reports reef decline</w:t>
      </w:r>
      <w:r>
        <w:t xml:space="preserve"> </w:t>
      </w:r>
      <w:r>
        <w:t xml:space="preserve">2. Tourists rush to visit before it’s</w:t>
      </w:r>
      <w:r>
        <w:t xml:space="preserve"> </w:t>
      </w:r>
      <w:r>
        <w:t xml:space="preserve">“too late”</w:t>
      </w:r>
      <w:r>
        <w:t xml:space="preserve"> </w:t>
      </w:r>
      <w:r>
        <w:t xml:space="preserve">3. Increased tourism pressure adds stress to an already vulnerable ecosystem</w:t>
      </w:r>
      <w:r>
        <w:t xml:space="preserve"> </w:t>
      </w:r>
      <w:r>
        <w:t xml:space="preserve">4. Further decline triggers more media coverage and more last-chance visitors</w:t>
      </w:r>
    </w:p>
    <w:p>
      <w:pPr>
        <w:pStyle w:val="BodyText"/>
      </w:pPr>
      <w:r>
        <w:t xml:space="preserve">The net effect on visitor numbers appears modestly positive in the short term but carries significant long-term risks if reef quality degrades to the point where the tourism experience is no longer satisfying.</w:t>
      </w:r>
    </w:p>
    <w:p>
      <w:pPr>
        <w:pStyle w:val="BodyText"/>
      </w:pPr>
      <w:r>
        <w:t xml:space="preserve">Sources:</w:t>
      </w:r>
      <w:r>
        <w:t xml:space="preserve"> </w:t>
      </w:r>
      <w:r>
        <w:t xml:space="preserve">-</w:t>
      </w:r>
      <w:r>
        <w:t xml:space="preserve"> </w:t>
      </w:r>
      <w:hyperlink r:id="rId94">
        <w:r>
          <w:rPr>
            <w:rStyle w:val="Hyperlink"/>
          </w:rPr>
          <w:t xml:space="preserve">Journal of Sustainable Tourism — Last Chance Tourism and the GBR</w:t>
        </w:r>
      </w:hyperlink>
      <w:r>
        <w:t xml:space="preserve"> </w:t>
      </w:r>
      <w:r>
        <w:t xml:space="preserve">-</w:t>
      </w:r>
      <w:r>
        <w:t xml:space="preserve"> </w:t>
      </w:r>
      <w:hyperlink r:id="rId95">
        <w:r>
          <w:rPr>
            <w:rStyle w:val="Hyperlink"/>
          </w:rPr>
          <w:t xml:space="preserve">ScienceDaily — See It Before It’s Gone</w:t>
        </w:r>
      </w:hyperlink>
      <w:r>
        <w:t xml:space="preserve"> </w:t>
      </w:r>
      <w:r>
        <w:t xml:space="preserve">-</w:t>
      </w:r>
      <w:r>
        <w:t xml:space="preserve"> </w:t>
      </w:r>
      <w:hyperlink r:id="rId96">
        <w:r>
          <w:rPr>
            <w:rStyle w:val="Hyperlink"/>
          </w:rPr>
          <w:t xml:space="preserve">The Conversation — Two-thirds want to see it before it’s gone</w:t>
        </w:r>
      </w:hyperlink>
    </w:p>
    <w:p>
      <w:r>
        <w:pict>
          <v:rect style="width:0;height:1.5pt" o:hralign="center" o:hrstd="t" o:hr="t"/>
        </w:pict>
      </w:r>
    </w:p>
    <w:bookmarkEnd w:id="97"/>
    <w:bookmarkEnd w:id="98"/>
    <w:bookmarkStart w:id="105" w:name="economic-risks-from-reef-degradation"/>
    <w:p>
      <w:pPr>
        <w:pStyle w:val="Heading2"/>
      </w:pPr>
      <w:r>
        <w:t xml:space="preserve">10. Economic Risks from Reef Degradation</w:t>
      </w:r>
    </w:p>
    <w:bookmarkStart w:id="99" w:name="tourism-revenue-at-risk"/>
    <w:p>
      <w:pPr>
        <w:pStyle w:val="Heading3"/>
      </w:pPr>
      <w:r>
        <w:t xml:space="preserve">10.1 Tourism Revenue at Risk</w:t>
      </w:r>
    </w:p>
    <w:p>
      <w:pPr>
        <w:pStyle w:val="Compact"/>
        <w:numPr>
          <w:ilvl w:val="0"/>
          <w:numId w:val="1015"/>
        </w:numPr>
      </w:pPr>
      <w:r>
        <w:t xml:space="preserve">An average visitor would undertake about</w:t>
      </w:r>
      <w:r>
        <w:t xml:space="preserve"> </w:t>
      </w:r>
      <w:r>
        <w:rPr>
          <w:b/>
          <w:bCs/>
        </w:rPr>
        <w:t xml:space="preserve">60% fewer trips</w:t>
      </w:r>
      <w:r>
        <w:t xml:space="preserve"> </w:t>
      </w:r>
      <w:r>
        <w:t xml:space="preserve">given a combined 80% decrease in coral cover, 30% decrease in coral diversity, and 70% decrease in fish diversity</w:t>
      </w:r>
    </w:p>
    <w:p>
      <w:pPr>
        <w:pStyle w:val="Compact"/>
        <w:numPr>
          <w:ilvl w:val="0"/>
          <w:numId w:val="1015"/>
        </w:numPr>
      </w:pPr>
      <w:r>
        <w:t xml:space="preserve">This scenario corresponds to a decrease in tourism expenditure of about</w:t>
      </w:r>
      <w:r>
        <w:t xml:space="preserve"> </w:t>
      </w:r>
      <w:r>
        <w:rPr>
          <w:b/>
          <w:bCs/>
        </w:rPr>
        <w:t xml:space="preserve">A$136 million per year</w:t>
      </w:r>
      <w:r>
        <w:t xml:space="preserve"> </w:t>
      </w:r>
      <w:r>
        <w:t xml:space="preserve">in the Marine Park area (contingent behaviour study)</w:t>
      </w:r>
    </w:p>
    <w:p>
      <w:pPr>
        <w:pStyle w:val="Compact"/>
        <w:numPr>
          <w:ilvl w:val="0"/>
          <w:numId w:val="1015"/>
        </w:numPr>
      </w:pPr>
      <w:r>
        <w:t xml:space="preserve">Following major bleaching events, tourist numbers have decreased by</w:t>
      </w:r>
      <w:r>
        <w:t xml:space="preserve"> </w:t>
      </w:r>
      <w:r>
        <w:rPr>
          <w:b/>
          <w:bCs/>
        </w:rPr>
        <w:t xml:space="preserve">10-20%</w:t>
      </w:r>
      <w:r>
        <w:t xml:space="preserve">, resulting in losses exceeding A$1 billion</w:t>
      </w:r>
    </w:p>
    <w:p>
      <w:pPr>
        <w:pStyle w:val="Compact"/>
        <w:numPr>
          <w:ilvl w:val="0"/>
          <w:numId w:val="1015"/>
        </w:numPr>
      </w:pPr>
      <w:r>
        <w:t xml:space="preserve">Insurance premiums in reef-adjacent areas have increased by</w:t>
      </w:r>
      <w:r>
        <w:t xml:space="preserve"> </w:t>
      </w:r>
      <w:r>
        <w:rPr>
          <w:b/>
          <w:bCs/>
        </w:rPr>
        <w:t xml:space="preserve">30-45%</w:t>
      </w:r>
      <w:r>
        <w:t xml:space="preserve"> </w:t>
      </w:r>
      <w:r>
        <w:t xml:space="preserve">in high-risk regions</w:t>
      </w:r>
    </w:p>
    <w:p>
      <w:pPr>
        <w:pStyle w:val="Compact"/>
        <w:numPr>
          <w:ilvl w:val="0"/>
          <w:numId w:val="1015"/>
        </w:numPr>
      </w:pPr>
      <w:r>
        <w:t xml:space="preserve">Property devaluation of</w:t>
      </w:r>
      <w:r>
        <w:t xml:space="preserve"> </w:t>
      </w:r>
      <w:r>
        <w:rPr>
          <w:b/>
          <w:bCs/>
        </w:rPr>
        <w:t xml:space="preserve">15-25%</w:t>
      </w:r>
      <w:r>
        <w:t xml:space="preserve"> </w:t>
      </w:r>
      <w:r>
        <w:t xml:space="preserve">in areas with severely degraded reef protection</w:t>
      </w:r>
    </w:p>
    <w:bookmarkEnd w:id="99"/>
    <w:bookmarkStart w:id="100" w:name="regional-economic-dependency"/>
    <w:p>
      <w:pPr>
        <w:pStyle w:val="Heading3"/>
      </w:pPr>
      <w:r>
        <w:t xml:space="preserve">10.2 Regional Economic Dependency</w:t>
      </w:r>
    </w:p>
    <w:tbl>
      <w:tblPr>
        <w:tblStyle w:val="Table"/>
        <w:tblW w:type="pct" w:w="5000"/>
        <w:tblLayout w:type="fixed"/>
        <w:tblLook w:firstRow="1" w:lastRow="0" w:firstColumn="0" w:lastColumn="0" w:noHBand="0" w:noVBand="0" w:val="0020"/>
      </w:tblPr>
      <w:tblGrid>
        <w:gridCol w:w="1508"/>
        <w:gridCol w:w="3582"/>
        <w:gridCol w:w="2828"/>
      </w:tblGrid>
      <w:tr>
        <w:trPr>
          <w:tblHeader w:val="on"/>
        </w:trPr>
        <w:tc>
          <w:tcPr/>
          <w:p>
            <w:pPr>
              <w:pStyle w:val="Compact"/>
            </w:pPr>
            <w:r>
              <w:t xml:space="preserve">Region</w:t>
            </w:r>
          </w:p>
        </w:tc>
        <w:tc>
          <w:tcPr/>
          <w:p>
            <w:pPr>
              <w:pStyle w:val="Compact"/>
            </w:pPr>
            <w:r>
              <w:t xml:space="preserve">Tourism Dependency</w:t>
            </w:r>
          </w:p>
        </w:tc>
        <w:tc>
          <w:tcPr/>
          <w:p>
            <w:pPr>
              <w:pStyle w:val="Compact"/>
            </w:pPr>
            <w:r>
              <w:t xml:space="preserve">Vulnerability</w:t>
            </w:r>
          </w:p>
        </w:tc>
      </w:tr>
      <w:tr>
        <w:tc>
          <w:tcPr/>
          <w:p>
            <w:pPr>
              <w:pStyle w:val="Compact"/>
            </w:pPr>
            <w:r>
              <w:t xml:space="preserve">Cairns/Port Douglas</w:t>
            </w:r>
          </w:p>
        </w:tc>
        <w:tc>
          <w:tcPr/>
          <w:p>
            <w:pPr>
              <w:pStyle w:val="Compact"/>
            </w:pPr>
            <w:r>
              <w:t xml:space="preserve">High (1 in 5 jobs; $4.7B overnight spend)</w:t>
            </w:r>
          </w:p>
        </w:tc>
        <w:tc>
          <w:tcPr/>
          <w:p>
            <w:pPr>
              <w:pStyle w:val="Compact"/>
            </w:pPr>
            <w:r>
              <w:t xml:space="preserve">Very high — reef is core tourism draw</w:t>
            </w:r>
          </w:p>
        </w:tc>
      </w:tr>
      <w:tr>
        <w:tc>
          <w:tcPr/>
          <w:p>
            <w:pPr>
              <w:pStyle w:val="Compact"/>
            </w:pPr>
            <w:r>
              <w:t xml:space="preserve">Whitsundays</w:t>
            </w:r>
          </w:p>
        </w:tc>
        <w:tc>
          <w:tcPr/>
          <w:p>
            <w:pPr>
              <w:pStyle w:val="Compact"/>
            </w:pPr>
            <w:r>
              <w:t xml:space="preserve">Very high ($1.5B domestic spend)</w:t>
            </w:r>
          </w:p>
        </w:tc>
        <w:tc>
          <w:tcPr/>
          <w:p>
            <w:pPr>
              <w:pStyle w:val="Compact"/>
            </w:pPr>
            <w:r>
              <w:t xml:space="preserve">Very high — reef + islands are the product</w:t>
            </w:r>
          </w:p>
        </w:tc>
      </w:tr>
      <w:tr>
        <w:tc>
          <w:tcPr/>
          <w:p>
            <w:pPr>
              <w:pStyle w:val="Compact"/>
            </w:pPr>
            <w:r>
              <w:t xml:space="preserve">Townsville</w:t>
            </w:r>
          </w:p>
        </w:tc>
        <w:tc>
          <w:tcPr/>
          <w:p>
            <w:pPr>
              <w:pStyle w:val="Compact"/>
            </w:pPr>
            <w:r>
              <w:t xml:space="preserve">Moderate (diversified economy, 8,000 tourism jobs)</w:t>
            </w:r>
          </w:p>
        </w:tc>
        <w:tc>
          <w:tcPr/>
          <w:p>
            <w:pPr>
              <w:pStyle w:val="Compact"/>
            </w:pPr>
            <w:r>
              <w:t xml:space="preserve">Moderate — growing but diversified</w:t>
            </w:r>
          </w:p>
        </w:tc>
      </w:tr>
      <w:tr>
        <w:tc>
          <w:tcPr/>
          <w:p>
            <w:pPr>
              <w:pStyle w:val="Compact"/>
            </w:pPr>
            <w:r>
              <w:t xml:space="preserve">Southern GBR</w:t>
            </w:r>
          </w:p>
        </w:tc>
        <w:tc>
          <w:tcPr/>
          <w:p>
            <w:pPr>
              <w:pStyle w:val="Compact"/>
            </w:pPr>
            <w:r>
              <w:t xml:space="preserve">Lower but growing (88,000 international visitors)</w:t>
            </w:r>
          </w:p>
        </w:tc>
        <w:tc>
          <w:tcPr/>
          <w:p>
            <w:pPr>
              <w:pStyle w:val="Compact"/>
            </w:pPr>
            <w:r>
              <w:t xml:space="preserve">Lower — broader tourism base, growing fast</w:t>
            </w:r>
          </w:p>
        </w:tc>
      </w:tr>
    </w:tbl>
    <w:p>
      <w:pPr>
        <w:pStyle w:val="BodyText"/>
      </w:pPr>
      <w:r>
        <w:t xml:space="preserve">About</w:t>
      </w:r>
      <w:r>
        <w:t xml:space="preserve"> </w:t>
      </w:r>
      <w:r>
        <w:rPr>
          <w:b/>
          <w:bCs/>
        </w:rPr>
        <w:t xml:space="preserve">2.5 million people per year visit the reef</w:t>
      </w:r>
      <w:r>
        <w:t xml:space="preserve"> </w:t>
      </w:r>
      <w:r>
        <w:t xml:space="preserve">compared with about</w:t>
      </w:r>
      <w:r>
        <w:t xml:space="preserve"> </w:t>
      </w:r>
      <w:r>
        <w:rPr>
          <w:b/>
          <w:bCs/>
        </w:rPr>
        <w:t xml:space="preserve">9 million visitors to the Reef Regions</w:t>
      </w:r>
      <w:r>
        <w:t xml:space="preserve"> </w:t>
      </w:r>
      <w:r>
        <w:t xml:space="preserve">overall, suggesting significant non-reef tourism exists in these regions but the reef is the defining brand.</w:t>
      </w:r>
    </w:p>
    <w:bookmarkEnd w:id="100"/>
    <w:bookmarkStart w:id="101" w:name="employment-vulnerability"/>
    <w:p>
      <w:pPr>
        <w:pStyle w:val="Heading3"/>
      </w:pPr>
      <w:r>
        <w:t xml:space="preserve">10.3 Employment Vulnerability</w:t>
      </w:r>
    </w:p>
    <w:p>
      <w:pPr>
        <w:pStyle w:val="FirstParagraph"/>
      </w:pPr>
      <w:r>
        <w:t xml:space="preserve">The most vulnerable jobs are:</w:t>
      </w:r>
      <w:r>
        <w:t xml:space="preserve"> </w:t>
      </w:r>
      <w:r>
        <w:t xml:space="preserve">-</w:t>
      </w:r>
      <w:r>
        <w:t xml:space="preserve"> </w:t>
      </w:r>
      <w:r>
        <w:rPr>
          <w:b/>
          <w:bCs/>
        </w:rPr>
        <w:t xml:space="preserve">Tour boat operators and crew</w:t>
      </w:r>
      <w:r>
        <w:t xml:space="preserve"> </w:t>
      </w:r>
      <w:r>
        <w:t xml:space="preserve">— directly dependent on reef quality</w:t>
      </w:r>
      <w:r>
        <w:t xml:space="preserve"> </w:t>
      </w:r>
      <w:r>
        <w:t xml:space="preserve">-</w:t>
      </w:r>
      <w:r>
        <w:t xml:space="preserve"> </w:t>
      </w:r>
      <w:r>
        <w:rPr>
          <w:b/>
          <w:bCs/>
        </w:rPr>
        <w:t xml:space="preserve">Dive instructors and marine guides</w:t>
      </w:r>
      <w:r>
        <w:t xml:space="preserve"> </w:t>
      </w:r>
      <w:r>
        <w:t xml:space="preserve">— require healthy reef for their product</w:t>
      </w:r>
      <w:r>
        <w:t xml:space="preserve"> </w:t>
      </w:r>
      <w:r>
        <w:t xml:space="preserve">-</w:t>
      </w:r>
      <w:r>
        <w:t xml:space="preserve"> </w:t>
      </w:r>
      <w:r>
        <w:rPr>
          <w:b/>
          <w:bCs/>
        </w:rPr>
        <w:t xml:space="preserve">Pontoon and island resort staff</w:t>
      </w:r>
      <w:r>
        <w:t xml:space="preserve"> </w:t>
      </w:r>
      <w:r>
        <w:t xml:space="preserve">— infrastructure tied to specific reef locations</w:t>
      </w:r>
      <w:r>
        <w:t xml:space="preserve"> </w:t>
      </w:r>
      <w:r>
        <w:t xml:space="preserve">-</w:t>
      </w:r>
      <w:r>
        <w:t xml:space="preserve"> </w:t>
      </w:r>
      <w:r>
        <w:rPr>
          <w:b/>
          <w:bCs/>
        </w:rPr>
        <w:t xml:space="preserve">Hospitality in reef-dependent towns</w:t>
      </w:r>
      <w:r>
        <w:t xml:space="preserve"> </w:t>
      </w:r>
      <w:r>
        <w:t xml:space="preserve">— indirect but significant</w:t>
      </w:r>
    </w:p>
    <w:bookmarkEnd w:id="101"/>
    <w:bookmarkStart w:id="102" w:name="infrastructure-at-risk"/>
    <w:p>
      <w:pPr>
        <w:pStyle w:val="Heading3"/>
      </w:pPr>
      <w:r>
        <w:t xml:space="preserve">10.4 Infrastructure at Risk</w:t>
      </w:r>
    </w:p>
    <w:p>
      <w:pPr>
        <w:pStyle w:val="Compact"/>
        <w:numPr>
          <w:ilvl w:val="0"/>
          <w:numId w:val="1016"/>
        </w:numPr>
      </w:pPr>
      <w:r>
        <w:t xml:space="preserve">Offshore pontoons (permanent floating platforms) — major capital investment by operators like Quicksilver, Sunlover</w:t>
      </w:r>
    </w:p>
    <w:p>
      <w:pPr>
        <w:pStyle w:val="Compact"/>
        <w:numPr>
          <w:ilvl w:val="0"/>
          <w:numId w:val="1016"/>
        </w:numPr>
      </w:pPr>
      <w:r>
        <w:t xml:space="preserve">Island resorts (some currently closed or under-invested)</w:t>
      </w:r>
    </w:p>
    <w:p>
      <w:pPr>
        <w:pStyle w:val="Compact"/>
        <w:numPr>
          <w:ilvl w:val="0"/>
          <w:numId w:val="1016"/>
        </w:numPr>
      </w:pPr>
      <w:r>
        <w:t xml:space="preserve">Marina facilities in Cairns, Airlie Beach, Port Douglas</w:t>
      </w:r>
    </w:p>
    <w:p>
      <w:pPr>
        <w:pStyle w:val="Compact"/>
        <w:numPr>
          <w:ilvl w:val="0"/>
          <w:numId w:val="1016"/>
        </w:numPr>
      </w:pPr>
      <w:r>
        <w:t xml:space="preserve">34 designated cruise ship anchorages</w:t>
      </w:r>
    </w:p>
    <w:bookmarkEnd w:id="102"/>
    <w:bookmarkStart w:id="104" w:name="the-124-billion-opportunityrisk"/>
    <w:p>
      <w:pPr>
        <w:pStyle w:val="Heading3"/>
      </w:pPr>
      <w:r>
        <w:t xml:space="preserve">10.5 The $124 Billion Opportunity/Risk</w:t>
      </w:r>
    </w:p>
    <w:p>
      <w:pPr>
        <w:pStyle w:val="FirstParagraph"/>
      </w:pPr>
      <w:r>
        <w:t xml:space="preserve">The 2024 Deloitte report identifies a</w:t>
      </w:r>
      <w:r>
        <w:t xml:space="preserve"> </w:t>
      </w:r>
      <w:r>
        <w:rPr>
          <w:b/>
          <w:bCs/>
        </w:rPr>
        <w:t xml:space="preserve">$124 billion economic opportunity</w:t>
      </w:r>
      <w:r>
        <w:t xml:space="preserve"> </w:t>
      </w:r>
      <w:r>
        <w:t xml:space="preserve">over 50 years if climate action + reef resilience investment are pursued. Conversely, failure to act puts a significant portion of the $95 billion asset value at risk.</w:t>
      </w:r>
    </w:p>
    <w:p>
      <w:pPr>
        <w:pStyle w:val="BodyText"/>
      </w:pPr>
      <w:r>
        <w:t xml:space="preserve">Sources:</w:t>
      </w:r>
      <w:r>
        <w:t xml:space="preserve"> </w:t>
      </w:r>
      <w:r>
        <w:t xml:space="preserve">-</w:t>
      </w:r>
      <w:r>
        <w:t xml:space="preserve"> </w:t>
      </w:r>
      <w:hyperlink r:id="rId103">
        <w:r>
          <w:rPr>
            <w:rStyle w:val="Hyperlink"/>
          </w:rPr>
          <w:t xml:space="preserve">GBRF — The Reef is Too Precious to Lose</w:t>
        </w:r>
      </w:hyperlink>
      <w:r>
        <w:t xml:space="preserve"> </w:t>
      </w:r>
      <w:r>
        <w:t xml:space="preserve">-</w:t>
      </w:r>
      <w:r>
        <w:t xml:space="preserve"> </w:t>
      </w:r>
      <w:hyperlink r:id="rId20">
        <w:r>
          <w:rPr>
            <w:rStyle w:val="Hyperlink"/>
          </w:rPr>
          <w:t xml:space="preserve">Deloitte — Great Barrier Reef Economics</w:t>
        </w:r>
      </w:hyperlink>
    </w:p>
    <w:p>
      <w:r>
        <w:pict>
          <v:rect style="width:0;height:1.5pt" o:hralign="center" o:hrstd="t" o:hr="t"/>
        </w:pict>
      </w:r>
    </w:p>
    <w:bookmarkEnd w:id="104"/>
    <w:bookmarkEnd w:id="105"/>
    <w:bookmarkStart w:id="111" w:name="commercial-and-recreational-fishing"/>
    <w:p>
      <w:pPr>
        <w:pStyle w:val="Heading2"/>
      </w:pPr>
      <w:r>
        <w:t xml:space="preserve">11. Commercial and Recreational Fishing</w:t>
      </w:r>
    </w:p>
    <w:bookmarkStart w:id="106" w:name="commercial-fishing"/>
    <w:p>
      <w:pPr>
        <w:pStyle w:val="Heading3"/>
      </w:pPr>
      <w:r>
        <w:t xml:space="preserve">11.1 Commercial Fishing</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Average annual value</w:t>
            </w:r>
          </w:p>
        </w:tc>
        <w:tc>
          <w:tcPr/>
          <w:p>
            <w:pPr>
              <w:pStyle w:val="Compact"/>
            </w:pPr>
            <w:r>
              <w:t xml:space="preserve">~A$104-200 million (estimates vary by source and year)</w:t>
            </w:r>
          </w:p>
        </w:tc>
      </w:tr>
      <w:tr>
        <w:tc>
          <w:tcPr/>
          <w:p>
            <w:pPr>
              <w:pStyle w:val="Compact"/>
            </w:pPr>
            <w:r>
              <w:t xml:space="preserve">Active fishing licences</w:t>
            </w:r>
          </w:p>
        </w:tc>
        <w:tc>
          <w:tcPr/>
          <w:p>
            <w:pPr>
              <w:pStyle w:val="Compact"/>
            </w:pPr>
            <w:r>
              <w:t xml:space="preserve">750 in the GBR World Heritage Area</w:t>
            </w:r>
          </w:p>
        </w:tc>
      </w:tr>
      <w:tr>
        <w:tc>
          <w:tcPr/>
          <w:p>
            <w:pPr>
              <w:pStyle w:val="Compact"/>
            </w:pPr>
            <w:r>
              <w:t xml:space="preserve">Primary fishery</w:t>
            </w:r>
          </w:p>
        </w:tc>
        <w:tc>
          <w:tcPr/>
          <w:p>
            <w:pPr>
              <w:pStyle w:val="Compact"/>
            </w:pPr>
            <w:r>
              <w:t xml:space="preserve">Trawl (prawns, scallops, bugs, squid)</w:t>
            </w:r>
          </w:p>
        </w:tc>
      </w:tr>
      <w:tr>
        <w:tc>
          <w:tcPr/>
          <w:p>
            <w:pPr>
              <w:pStyle w:val="Compact"/>
            </w:pPr>
            <w:r>
              <w:t xml:space="preserve">Queensland commercial fisheries GVP (2020-21)</w:t>
            </w:r>
          </w:p>
        </w:tc>
        <w:tc>
          <w:tcPr/>
          <w:p>
            <w:pPr>
              <w:pStyle w:val="Compact"/>
            </w:pPr>
            <w:r>
              <w:t xml:space="preserve">A$170 million (down 12% on prior year)</w:t>
            </w:r>
          </w:p>
        </w:tc>
      </w:tr>
    </w:tbl>
    <w:bookmarkEnd w:id="106"/>
    <w:bookmarkStart w:id="110" w:name="recreational-fishing"/>
    <w:p>
      <w:pPr>
        <w:pStyle w:val="Heading3"/>
      </w:pPr>
      <w:r>
        <w:t xml:space="preserve">11.2 Recreational Fishing</w:t>
      </w:r>
    </w:p>
    <w:p>
      <w:pPr>
        <w:pStyle w:val="Compact"/>
        <w:numPr>
          <w:ilvl w:val="0"/>
          <w:numId w:val="1017"/>
        </w:numPr>
      </w:pPr>
      <w:r>
        <w:t xml:space="preserve">Total value of recreational activity associated with the GBR: ~A$346 million (2015-16 estimate)</w:t>
      </w:r>
    </w:p>
    <w:p>
      <w:pPr>
        <w:pStyle w:val="Compact"/>
        <w:numPr>
          <w:ilvl w:val="0"/>
          <w:numId w:val="1017"/>
        </w:numPr>
      </w:pPr>
      <w:r>
        <w:t xml:space="preserve">Recreational users’ share of GBR asset value: A$3.2 billion (in the Deloitte 2017 valuation)</w:t>
      </w:r>
    </w:p>
    <w:p>
      <w:pPr>
        <w:pStyle w:val="Compact"/>
        <w:numPr>
          <w:ilvl w:val="0"/>
          <w:numId w:val="1017"/>
        </w:numPr>
      </w:pPr>
      <w:r>
        <w:t xml:space="preserve">Recreational fishing is a major draw for domestic tourists, particularly in the Southern GBR</w:t>
      </w:r>
    </w:p>
    <w:p>
      <w:pPr>
        <w:pStyle w:val="FirstParagraph"/>
      </w:pPr>
      <w:r>
        <w:t xml:space="preserve">Sources:</w:t>
      </w:r>
      <w:r>
        <w:t xml:space="preserve"> </w:t>
      </w:r>
      <w:r>
        <w:t xml:space="preserve">-</w:t>
      </w:r>
      <w:r>
        <w:t xml:space="preserve"> </w:t>
      </w:r>
      <w:hyperlink r:id="rId107">
        <w:r>
          <w:rPr>
            <w:rStyle w:val="Hyperlink"/>
          </w:rPr>
          <w:t xml:space="preserve">GBRMPA — Commercial Fishing and Zoning</w:t>
        </w:r>
      </w:hyperlink>
      <w:r>
        <w:t xml:space="preserve"> </w:t>
      </w:r>
      <w:r>
        <w:t xml:space="preserve">-</w:t>
      </w:r>
      <w:r>
        <w:t xml:space="preserve"> </w:t>
      </w:r>
      <w:hyperlink r:id="rId108">
        <w:r>
          <w:rPr>
            <w:rStyle w:val="Hyperlink"/>
          </w:rPr>
          <w:t xml:space="preserve">GBRMPA Outlook Report 2024 — Benefits of Fishing</w:t>
        </w:r>
      </w:hyperlink>
      <w:r>
        <w:t xml:space="preserve"> </w:t>
      </w:r>
      <w:r>
        <w:t xml:space="preserve">-</w:t>
      </w:r>
      <w:r>
        <w:t xml:space="preserve"> </w:t>
      </w:r>
      <w:hyperlink r:id="rId109">
        <w:r>
          <w:rPr>
            <w:rStyle w:val="Hyperlink"/>
          </w:rPr>
          <w:t xml:space="preserve">eAtlas — Commercial Fishers of the GBR</w:t>
        </w:r>
      </w:hyperlink>
    </w:p>
    <w:p>
      <w:r>
        <w:pict>
          <v:rect style="width:0;height:1.5pt" o:hralign="center" o:hrstd="t" o:hr="t"/>
        </w:pict>
      </w:r>
    </w:p>
    <w:bookmarkEnd w:id="110"/>
    <w:bookmarkEnd w:id="111"/>
    <w:bookmarkStart w:id="116" w:name="insurance-and-climate-risk"/>
    <w:p>
      <w:pPr>
        <w:pStyle w:val="Heading2"/>
      </w:pPr>
      <w:r>
        <w:t xml:space="preserve">12. Insurance and Climate Risk</w:t>
      </w:r>
    </w:p>
    <w:bookmarkStart w:id="112" w:name="reef-insurance-initiatives"/>
    <w:p>
      <w:pPr>
        <w:pStyle w:val="Heading3"/>
      </w:pPr>
      <w:r>
        <w:t xml:space="preserve">12.1 Reef Insurance Initiatives</w:t>
      </w:r>
    </w:p>
    <w:p>
      <w:pPr>
        <w:pStyle w:val="Compact"/>
        <w:numPr>
          <w:ilvl w:val="0"/>
          <w:numId w:val="1018"/>
        </w:numPr>
      </w:pPr>
      <w:r>
        <w:t xml:space="preserve">The Nature Conservancy and Swiss Re are developing parametric insurance products for the GBR, following successful models in the Mesoamerican Barrier Reef (Mexico)</w:t>
      </w:r>
    </w:p>
    <w:p>
      <w:pPr>
        <w:pStyle w:val="Compact"/>
        <w:numPr>
          <w:ilvl w:val="0"/>
          <w:numId w:val="1018"/>
        </w:numPr>
      </w:pPr>
      <w:r>
        <w:t xml:space="preserve">These products would trigger payouts based on measurable events (e.g., sea surface temperature exceeding thresholds) to fund rapid restoration response</w:t>
      </w:r>
    </w:p>
    <w:bookmarkEnd w:id="112"/>
    <w:bookmarkStart w:id="115" w:name="insurance-costs-for-operators"/>
    <w:p>
      <w:pPr>
        <w:pStyle w:val="Heading3"/>
      </w:pPr>
      <w:r>
        <w:t xml:space="preserve">12.2 Insurance Costs for Operators</w:t>
      </w:r>
    </w:p>
    <w:p>
      <w:pPr>
        <w:pStyle w:val="Compact"/>
        <w:numPr>
          <w:ilvl w:val="0"/>
          <w:numId w:val="1019"/>
        </w:numPr>
      </w:pPr>
      <w:r>
        <w:t xml:space="preserve">Insurance premiums in reef-adjacent areas have increased by</w:t>
      </w:r>
      <w:r>
        <w:t xml:space="preserve"> </w:t>
      </w:r>
      <w:r>
        <w:rPr>
          <w:b/>
          <w:bCs/>
        </w:rPr>
        <w:t xml:space="preserve">30-45%</w:t>
      </w:r>
      <w:r>
        <w:t xml:space="preserve"> </w:t>
      </w:r>
      <w:r>
        <w:t xml:space="preserve">in high-risk regions</w:t>
      </w:r>
    </w:p>
    <w:p>
      <w:pPr>
        <w:pStyle w:val="Compact"/>
        <w:numPr>
          <w:ilvl w:val="0"/>
          <w:numId w:val="1019"/>
        </w:numPr>
      </w:pPr>
      <w:r>
        <w:t xml:space="preserve">Property values have declined by</w:t>
      </w:r>
      <w:r>
        <w:t xml:space="preserve"> </w:t>
      </w:r>
      <w:r>
        <w:rPr>
          <w:b/>
          <w:bCs/>
        </w:rPr>
        <w:t xml:space="preserve">15-25%</w:t>
      </w:r>
      <w:r>
        <w:t xml:space="preserve"> </w:t>
      </w:r>
      <w:r>
        <w:t xml:space="preserve">in areas with severely degraded reef protection</w:t>
      </w:r>
    </w:p>
    <w:p>
      <w:pPr>
        <w:pStyle w:val="Compact"/>
        <w:numPr>
          <w:ilvl w:val="0"/>
          <w:numId w:val="1019"/>
        </w:numPr>
      </w:pPr>
      <w:r>
        <w:t xml:space="preserve">Rising insurance costs represent a growing financial burden for tourism operators</w:t>
      </w:r>
    </w:p>
    <w:p>
      <w:pPr>
        <w:pStyle w:val="FirstParagraph"/>
      </w:pPr>
      <w:r>
        <w:t xml:space="preserve">Sources:</w:t>
      </w:r>
      <w:r>
        <w:t xml:space="preserve"> </w:t>
      </w:r>
      <w:r>
        <w:t xml:space="preserve">-</w:t>
      </w:r>
      <w:r>
        <w:t xml:space="preserve"> </w:t>
      </w:r>
      <w:hyperlink r:id="rId113">
        <w:r>
          <w:rPr>
            <w:rStyle w:val="Hyperlink"/>
          </w:rPr>
          <w:t xml:space="preserve">Swiss Re — How Insurance is Protecting Coral Reefs</w:t>
        </w:r>
      </w:hyperlink>
      <w:r>
        <w:t xml:space="preserve"> </w:t>
      </w:r>
      <w:r>
        <w:t xml:space="preserve">-</w:t>
      </w:r>
      <w:r>
        <w:t xml:space="preserve"> </w:t>
      </w:r>
      <w:hyperlink r:id="rId114">
        <w:r>
          <w:rPr>
            <w:rStyle w:val="Hyperlink"/>
          </w:rPr>
          <w:t xml:space="preserve">CoralVita — Economic Impact of Coral Reef Loss</w:t>
        </w:r>
      </w:hyperlink>
    </w:p>
    <w:p>
      <w:r>
        <w:pict>
          <v:rect style="width:0;height:1.5pt" o:hralign="center" o:hrstd="t" o:hr="t"/>
        </w:pict>
      </w:r>
    </w:p>
    <w:bookmarkEnd w:id="115"/>
    <w:bookmarkEnd w:id="116"/>
    <w:bookmarkStart w:id="130" w:name="key-data-sources-for-further-research"/>
    <w:p>
      <w:pPr>
        <w:pStyle w:val="Heading2"/>
      </w:pPr>
      <w:r>
        <w:t xml:space="preserve">13. Key Data Sources for Further Research</w:t>
      </w:r>
    </w:p>
    <w:bookmarkStart w:id="121" w:name="primary-governmentinstitutional-sources"/>
    <w:p>
      <w:pPr>
        <w:pStyle w:val="Heading3"/>
      </w:pPr>
      <w:r>
        <w:t xml:space="preserve">Primary Government/Institutional Sources</w:t>
      </w:r>
    </w:p>
    <w:tbl>
      <w:tblPr>
        <w:tblStyle w:val="Table"/>
        <w:tblW w:type="pct" w:w="5000"/>
        <w:tblLayout w:type="fixed"/>
        <w:tblLook w:firstRow="1" w:lastRow="0" w:firstColumn="0" w:lastColumn="0" w:noHBand="0" w:noVBand="0" w:val="0020"/>
      </w:tblPr>
      <w:tblGrid>
        <w:gridCol w:w="2112"/>
        <w:gridCol w:w="4488"/>
        <w:gridCol w:w="1320"/>
      </w:tblGrid>
      <w:tr>
        <w:trPr>
          <w:tblHeader w:val="on"/>
        </w:trPr>
        <w:tc>
          <w:tcPr/>
          <w:p>
            <w:pPr>
              <w:pStyle w:val="Compact"/>
            </w:pPr>
            <w:r>
              <w:t xml:space="preserve">Source</w:t>
            </w:r>
          </w:p>
        </w:tc>
        <w:tc>
          <w:tcPr/>
          <w:p>
            <w:pPr>
              <w:pStyle w:val="Compact"/>
            </w:pPr>
            <w:r>
              <w:t xml:space="preserve">What It Provides</w:t>
            </w:r>
          </w:p>
        </w:tc>
        <w:tc>
          <w:tcPr/>
          <w:p>
            <w:pPr>
              <w:pStyle w:val="Compact"/>
            </w:pPr>
            <w:r>
              <w:t xml:space="preserve">URL</w:t>
            </w:r>
          </w:p>
        </w:tc>
      </w:tr>
      <w:tr>
        <w:tc>
          <w:tcPr/>
          <w:p>
            <w:pPr>
              <w:pStyle w:val="Compact"/>
            </w:pPr>
            <w:r>
              <w:t xml:space="preserve">GBRMPA Tourism Visitation Data</w:t>
            </w:r>
          </w:p>
        </w:tc>
        <w:tc>
          <w:tcPr/>
          <w:p>
            <w:pPr>
              <w:pStyle w:val="Compact"/>
            </w:pPr>
            <w:r>
              <w:t xml:space="preserve">EMC-derived visitor numbers, updated biannually</w:t>
            </w:r>
          </w:p>
        </w:tc>
        <w:tc>
          <w:tcPr/>
          <w:p>
            <w:pPr>
              <w:pStyle w:val="Compact"/>
            </w:pPr>
            <w:hyperlink r:id="rId35">
              <w:r>
                <w:rPr>
                  <w:rStyle w:val="Hyperlink"/>
                </w:rPr>
                <w:t xml:space="preserve">Link</w:t>
              </w:r>
            </w:hyperlink>
          </w:p>
        </w:tc>
      </w:tr>
      <w:tr>
        <w:tc>
          <w:tcPr/>
          <w:p>
            <w:pPr>
              <w:pStyle w:val="Compact"/>
            </w:pPr>
            <w:r>
              <w:t xml:space="preserve">GBRMPA Outlook Report 2024</w:t>
            </w:r>
          </w:p>
        </w:tc>
        <w:tc>
          <w:tcPr/>
          <w:p>
            <w:pPr>
              <w:pStyle w:val="Compact"/>
            </w:pPr>
            <w:r>
              <w:t xml:space="preserve">Comprehensive reef status and trend assessment</w:t>
            </w:r>
          </w:p>
        </w:tc>
        <w:tc>
          <w:tcPr/>
          <w:p>
            <w:pPr>
              <w:pStyle w:val="Compact"/>
            </w:pPr>
            <w:hyperlink r:id="rId117">
              <w:r>
                <w:rPr>
                  <w:rStyle w:val="Hyperlink"/>
                </w:rPr>
                <w:t xml:space="preserve">Link</w:t>
              </w:r>
            </w:hyperlink>
          </w:p>
        </w:tc>
      </w:tr>
      <w:tr>
        <w:tc>
          <w:tcPr/>
          <w:p>
            <w:pPr>
              <w:pStyle w:val="Compact"/>
            </w:pPr>
            <w:r>
              <w:t xml:space="preserve">GBRMPA Annual Reports</w:t>
            </w:r>
          </w:p>
        </w:tc>
        <w:tc>
          <w:tcPr/>
          <w:p>
            <w:pPr>
              <w:pStyle w:val="Compact"/>
            </w:pPr>
            <w:r>
              <w:t xml:space="preserve">EMC revenue, permit numbers, management spending</w:t>
            </w:r>
          </w:p>
        </w:tc>
        <w:tc>
          <w:tcPr/>
          <w:p>
            <w:pPr>
              <w:pStyle w:val="Compact"/>
            </w:pPr>
            <w:hyperlink r:id="rId118">
              <w:r>
                <w:rPr>
                  <w:rStyle w:val="Hyperlink"/>
                </w:rPr>
                <w:t xml:space="preserve">Link</w:t>
              </w:r>
            </w:hyperlink>
          </w:p>
        </w:tc>
      </w:tr>
      <w:tr>
        <w:tc>
          <w:tcPr/>
          <w:p>
            <w:pPr>
              <w:pStyle w:val="Compact"/>
            </w:pPr>
            <w:r>
              <w:t xml:space="preserve">ABS Environmental-Economic Accounts</w:t>
            </w:r>
          </w:p>
        </w:tc>
        <w:tc>
          <w:tcPr/>
          <w:p>
            <w:pPr>
              <w:pStyle w:val="Compact"/>
            </w:pPr>
            <w:r>
              <w:t xml:space="preserve">Ecosystem services valuation, tourism rent</w:t>
            </w:r>
          </w:p>
        </w:tc>
        <w:tc>
          <w:tcPr/>
          <w:p>
            <w:pPr>
              <w:pStyle w:val="Compact"/>
            </w:pPr>
            <w:hyperlink r:id="rId30">
              <w:r>
                <w:rPr>
                  <w:rStyle w:val="Hyperlink"/>
                </w:rPr>
                <w:t xml:space="preserve">Link</w:t>
              </w:r>
            </w:hyperlink>
          </w:p>
        </w:tc>
      </w:tr>
      <w:tr>
        <w:tc>
          <w:tcPr/>
          <w:p>
            <w:pPr>
              <w:pStyle w:val="Compact"/>
            </w:pPr>
            <w:r>
              <w:t xml:space="preserve">Tourism Research Australia (NVS/IVS)</w:t>
            </w:r>
          </w:p>
        </w:tc>
        <w:tc>
          <w:tcPr/>
          <w:p>
            <w:pPr>
              <w:pStyle w:val="Compact"/>
            </w:pPr>
            <w:r>
              <w:t xml:space="preserve">National/International visitor surveys</w:t>
            </w:r>
          </w:p>
        </w:tc>
        <w:tc>
          <w:tcPr/>
          <w:p>
            <w:pPr>
              <w:pStyle w:val="Compact"/>
            </w:pPr>
            <w:r>
              <w:t xml:space="preserve">Via TEQ</w:t>
            </w:r>
          </w:p>
        </w:tc>
      </w:tr>
      <w:tr>
        <w:tc>
          <w:tcPr/>
          <w:p>
            <w:pPr>
              <w:pStyle w:val="Compact"/>
            </w:pPr>
            <w:r>
              <w:t xml:space="preserve">Tourism &amp; Events Queensland</w:t>
            </w:r>
          </w:p>
        </w:tc>
        <w:tc>
          <w:tcPr/>
          <w:p>
            <w:pPr>
              <w:pStyle w:val="Compact"/>
            </w:pPr>
            <w:r>
              <w:t xml:space="preserve">Regional snapshots, performance data</w:t>
            </w:r>
          </w:p>
        </w:tc>
        <w:tc>
          <w:tcPr/>
          <w:p>
            <w:pPr>
              <w:pStyle w:val="Compact"/>
            </w:pPr>
            <w:hyperlink r:id="rId119">
              <w:r>
                <w:rPr>
                  <w:rStyle w:val="Hyperlink"/>
                </w:rPr>
                <w:t xml:space="preserve">Link</w:t>
              </w:r>
            </w:hyperlink>
          </w:p>
        </w:tc>
      </w:tr>
      <w:tr>
        <w:tc>
          <w:tcPr/>
          <w:p>
            <w:pPr>
              <w:pStyle w:val="Compact"/>
            </w:pPr>
            <w:r>
              <w:t xml:space="preserve">QLD State of Environment 2024</w:t>
            </w:r>
          </w:p>
        </w:tc>
        <w:tc>
          <w:tcPr/>
          <w:p>
            <w:pPr>
              <w:pStyle w:val="Compact"/>
            </w:pPr>
            <w:r>
              <w:t xml:space="preserve">Direct use and economic indicators</w:t>
            </w:r>
          </w:p>
        </w:tc>
        <w:tc>
          <w:tcPr/>
          <w:p>
            <w:pPr>
              <w:pStyle w:val="Compact"/>
            </w:pPr>
            <w:hyperlink r:id="rId120">
              <w:r>
                <w:rPr>
                  <w:rStyle w:val="Hyperlink"/>
                </w:rPr>
                <w:t xml:space="preserve">Link</w:t>
              </w:r>
            </w:hyperlink>
          </w:p>
        </w:tc>
      </w:tr>
    </w:tbl>
    <w:bookmarkEnd w:id="121"/>
    <w:bookmarkStart w:id="125" w:name="key-research-programs"/>
    <w:p>
      <w:pPr>
        <w:pStyle w:val="Heading3"/>
      </w:pPr>
      <w:r>
        <w:t xml:space="preserve">Key Research Programs</w:t>
      </w:r>
    </w:p>
    <w:tbl>
      <w:tblPr>
        <w:tblStyle w:val="Table"/>
        <w:tblW w:type="pct" w:w="5000"/>
        <w:tblLayout w:type="fixed"/>
        <w:tblLook w:firstRow="1" w:lastRow="0" w:firstColumn="0" w:lastColumn="0" w:noHBand="0" w:noVBand="0" w:val="0020"/>
      </w:tblPr>
      <w:tblGrid>
        <w:gridCol w:w="3168"/>
        <w:gridCol w:w="2772"/>
        <w:gridCol w:w="1980"/>
      </w:tblGrid>
      <w:tr>
        <w:trPr>
          <w:tblHeader w:val="on"/>
        </w:trPr>
        <w:tc>
          <w:tcPr/>
          <w:p>
            <w:pPr>
              <w:pStyle w:val="Compact"/>
            </w:pPr>
            <w:r>
              <w:t xml:space="preserve">Source</w:t>
            </w:r>
          </w:p>
        </w:tc>
        <w:tc>
          <w:tcPr/>
          <w:p>
            <w:pPr>
              <w:pStyle w:val="Compact"/>
            </w:pPr>
            <w:r>
              <w:t xml:space="preserve">Focus</w:t>
            </w:r>
          </w:p>
        </w:tc>
        <w:tc>
          <w:tcPr/>
          <w:p>
            <w:pPr>
              <w:pStyle w:val="Compact"/>
            </w:pPr>
            <w:r>
              <w:t xml:space="preserve">URL</w:t>
            </w:r>
          </w:p>
        </w:tc>
      </w:tr>
      <w:tr>
        <w:tc>
          <w:tcPr/>
          <w:p>
            <w:pPr>
              <w:pStyle w:val="Compact"/>
            </w:pPr>
            <w:r>
              <w:t xml:space="preserve">CSIRO SELTMP</w:t>
            </w:r>
          </w:p>
        </w:tc>
        <w:tc>
          <w:tcPr/>
          <w:p>
            <w:pPr>
              <w:pStyle w:val="Compact"/>
            </w:pPr>
            <w:r>
              <w:t xml:space="preserve">Socioeconomic long-term monitoring (surveys 2013, 2017, 2021, 2023)</w:t>
            </w:r>
          </w:p>
        </w:tc>
        <w:tc>
          <w:tcPr/>
          <w:p>
            <w:pPr>
              <w:pStyle w:val="Compact"/>
            </w:pPr>
            <w:hyperlink r:id="rId122">
              <w:r>
                <w:rPr>
                  <w:rStyle w:val="Hyperlink"/>
                </w:rPr>
                <w:t xml:space="preserve">Link</w:t>
              </w:r>
            </w:hyperlink>
          </w:p>
        </w:tc>
      </w:tr>
      <w:tr>
        <w:tc>
          <w:tcPr/>
          <w:p>
            <w:pPr>
              <w:pStyle w:val="Compact"/>
            </w:pPr>
            <w:r>
              <w:t xml:space="preserve">AIMS</w:t>
            </w:r>
          </w:p>
        </w:tc>
        <w:tc>
          <w:tcPr/>
          <w:p>
            <w:pPr>
              <w:pStyle w:val="Compact"/>
            </w:pPr>
            <w:r>
              <w:t xml:space="preserve">Marine science, bleaching monitoring, reef health</w:t>
            </w:r>
          </w:p>
        </w:tc>
        <w:tc>
          <w:tcPr/>
          <w:p>
            <w:pPr>
              <w:pStyle w:val="Compact"/>
            </w:pPr>
            <w:hyperlink r:id="rId123">
              <w:r>
                <w:rPr>
                  <w:rStyle w:val="Hyperlink"/>
                </w:rPr>
                <w:t xml:space="preserve">Link</w:t>
              </w:r>
            </w:hyperlink>
          </w:p>
        </w:tc>
      </w:tr>
      <w:tr>
        <w:tc>
          <w:tcPr/>
          <w:p>
            <w:pPr>
              <w:pStyle w:val="Compact"/>
            </w:pPr>
            <w:r>
              <w:t xml:space="preserve">Deloitte Access Economics</w:t>
            </w:r>
          </w:p>
        </w:tc>
        <w:tc>
          <w:tcPr/>
          <w:p>
            <w:pPr>
              <w:pStyle w:val="Compact"/>
            </w:pPr>
            <w:r>
              <w:t xml:space="preserve">Economic valuations (2017, 2024)</w:t>
            </w:r>
          </w:p>
        </w:tc>
        <w:tc>
          <w:tcPr/>
          <w:p>
            <w:pPr>
              <w:pStyle w:val="Compact"/>
            </w:pPr>
            <w:hyperlink r:id="rId20">
              <w:r>
                <w:rPr>
                  <w:rStyle w:val="Hyperlink"/>
                </w:rPr>
                <w:t xml:space="preserve">Link</w:t>
              </w:r>
            </w:hyperlink>
          </w:p>
        </w:tc>
      </w:tr>
      <w:tr>
        <w:tc>
          <w:tcPr/>
          <w:p>
            <w:pPr>
              <w:pStyle w:val="Compact"/>
            </w:pPr>
            <w:r>
              <w:t xml:space="preserve">Great Barrier Reef Foundation</w:t>
            </w:r>
          </w:p>
        </w:tc>
        <w:tc>
          <w:tcPr/>
          <w:p>
            <w:pPr>
              <w:pStyle w:val="Compact"/>
            </w:pPr>
            <w:r>
              <w:t xml:space="preserve">Conservation funding, economic reports</w:t>
            </w:r>
          </w:p>
        </w:tc>
        <w:tc>
          <w:tcPr/>
          <w:p>
            <w:pPr>
              <w:pStyle w:val="Compact"/>
            </w:pPr>
            <w:hyperlink r:id="rId124">
              <w:r>
                <w:rPr>
                  <w:rStyle w:val="Hyperlink"/>
                </w:rPr>
                <w:t xml:space="preserve">Link</w:t>
              </w:r>
            </w:hyperlink>
          </w:p>
        </w:tc>
      </w:tr>
    </w:tbl>
    <w:bookmarkEnd w:id="125"/>
    <w:bookmarkStart w:id="129" w:name="regional-economic-data"/>
    <w:p>
      <w:pPr>
        <w:pStyle w:val="Heading3"/>
      </w:pPr>
      <w:r>
        <w:t xml:space="preserve">Regional Economic Data</w:t>
      </w:r>
    </w:p>
    <w:tbl>
      <w:tblPr>
        <w:tblStyle w:val="Table"/>
        <w:tblW w:type="pct" w:w="5000"/>
        <w:tblLayout w:type="fixed"/>
        <w:tblLook w:firstRow="1" w:lastRow="0" w:firstColumn="0" w:lastColumn="0" w:noHBand="0" w:noVBand="0" w:val="0020"/>
      </w:tblPr>
      <w:tblGrid>
        <w:gridCol w:w="2754"/>
        <w:gridCol w:w="3443"/>
        <w:gridCol w:w="1721"/>
      </w:tblGrid>
      <w:tr>
        <w:trPr>
          <w:tblHeader w:val="on"/>
        </w:trPr>
        <w:tc>
          <w:tcPr/>
          <w:p>
            <w:pPr>
              <w:pStyle w:val="Compact"/>
            </w:pPr>
            <w:r>
              <w:t xml:space="preserve">Source</w:t>
            </w:r>
          </w:p>
        </w:tc>
        <w:tc>
          <w:tcPr/>
          <w:p>
            <w:pPr>
              <w:pStyle w:val="Compact"/>
            </w:pPr>
            <w:r>
              <w:t xml:space="preserve">Coverage</w:t>
            </w:r>
          </w:p>
        </w:tc>
        <w:tc>
          <w:tcPr/>
          <w:p>
            <w:pPr>
              <w:pStyle w:val="Compact"/>
            </w:pPr>
            <w:r>
              <w:t xml:space="preserve">URL</w:t>
            </w:r>
          </w:p>
        </w:tc>
      </w:tr>
      <w:tr>
        <w:tc>
          <w:tcPr/>
          <w:p>
            <w:pPr>
              <w:pStyle w:val="Compact"/>
            </w:pPr>
            <w:r>
              <w:t xml:space="preserve">Cairns economy.id</w:t>
            </w:r>
          </w:p>
        </w:tc>
        <w:tc>
          <w:tcPr/>
          <w:p>
            <w:pPr>
              <w:pStyle w:val="Compact"/>
            </w:pPr>
            <w:r>
              <w:t xml:space="preserve">Cairns GRP, tourism value, employment</w:t>
            </w:r>
          </w:p>
        </w:tc>
        <w:tc>
          <w:tcPr/>
          <w:p>
            <w:pPr>
              <w:pStyle w:val="Compact"/>
            </w:pPr>
            <w:hyperlink r:id="rId62">
              <w:r>
                <w:rPr>
                  <w:rStyle w:val="Hyperlink"/>
                </w:rPr>
                <w:t xml:space="preserve">Link</w:t>
              </w:r>
            </w:hyperlink>
          </w:p>
        </w:tc>
      </w:tr>
      <w:tr>
        <w:tc>
          <w:tcPr/>
          <w:p>
            <w:pPr>
              <w:pStyle w:val="Compact"/>
            </w:pPr>
            <w:r>
              <w:t xml:space="preserve">Townsville economy.id</w:t>
            </w:r>
          </w:p>
        </w:tc>
        <w:tc>
          <w:tcPr/>
          <w:p>
            <w:pPr>
              <w:pStyle w:val="Compact"/>
            </w:pPr>
            <w:r>
              <w:t xml:space="preserve">Townsville tourism, employment</w:t>
            </w:r>
          </w:p>
        </w:tc>
        <w:tc>
          <w:tcPr/>
          <w:p>
            <w:pPr>
              <w:pStyle w:val="Compact"/>
            </w:pPr>
            <w:hyperlink r:id="rId126">
              <w:r>
                <w:rPr>
                  <w:rStyle w:val="Hyperlink"/>
                </w:rPr>
                <w:t xml:space="preserve">Link</w:t>
              </w:r>
            </w:hyperlink>
          </w:p>
        </w:tc>
      </w:tr>
      <w:tr>
        <w:tc>
          <w:tcPr/>
          <w:p>
            <w:pPr>
              <w:pStyle w:val="Compact"/>
            </w:pPr>
            <w:r>
              <w:t xml:space="preserve">Capricorn Enterprise</w:t>
            </w:r>
          </w:p>
        </w:tc>
        <w:tc>
          <w:tcPr/>
          <w:p>
            <w:pPr>
              <w:pStyle w:val="Compact"/>
            </w:pPr>
            <w:r>
              <w:t xml:space="preserve">Southern GBR tourism data</w:t>
            </w:r>
          </w:p>
        </w:tc>
        <w:tc>
          <w:tcPr/>
          <w:p>
            <w:pPr>
              <w:pStyle w:val="Compact"/>
            </w:pPr>
            <w:hyperlink r:id="rId127">
              <w:r>
                <w:rPr>
                  <w:rStyle w:val="Hyperlink"/>
                </w:rPr>
                <w:t xml:space="preserve">Link</w:t>
              </w:r>
            </w:hyperlink>
          </w:p>
        </w:tc>
      </w:tr>
      <w:tr>
        <w:tc>
          <w:tcPr/>
          <w:p>
            <w:pPr>
              <w:pStyle w:val="Compact"/>
            </w:pPr>
            <w:r>
              <w:t xml:space="preserve">Tropical North Queensland Tourism</w:t>
            </w:r>
          </w:p>
        </w:tc>
        <w:tc>
          <w:tcPr/>
          <w:p>
            <w:pPr>
              <w:pStyle w:val="Compact"/>
            </w:pPr>
            <w:r>
              <w:t xml:space="preserve">Cairns/FNQ tourism data</w:t>
            </w:r>
          </w:p>
        </w:tc>
        <w:tc>
          <w:tcPr/>
          <w:p>
            <w:pPr>
              <w:pStyle w:val="Compact"/>
            </w:pPr>
            <w:hyperlink r:id="rId52">
              <w:r>
                <w:rPr>
                  <w:rStyle w:val="Hyperlink"/>
                </w:rPr>
                <w:t xml:space="preserve">Link</w:t>
              </w:r>
            </w:hyperlink>
          </w:p>
        </w:tc>
      </w:tr>
      <w:tr>
        <w:tc>
          <w:tcPr/>
          <w:p>
            <w:pPr>
              <w:pStyle w:val="Compact"/>
            </w:pPr>
            <w:r>
              <w:t xml:space="preserve">Townsville Enterprise</w:t>
            </w:r>
          </w:p>
        </w:tc>
        <w:tc>
          <w:tcPr/>
          <w:p>
            <w:pPr>
              <w:pStyle w:val="Compact"/>
            </w:pPr>
            <w:r>
              <w:t xml:space="preserve">Townsville/NQ tourism and economic data</w:t>
            </w:r>
          </w:p>
        </w:tc>
        <w:tc>
          <w:tcPr/>
          <w:p>
            <w:pPr>
              <w:pStyle w:val="Compact"/>
            </w:pPr>
            <w:hyperlink r:id="rId128">
              <w:r>
                <w:rPr>
                  <w:rStyle w:val="Hyperlink"/>
                </w:rPr>
                <w:t xml:space="preserve">Link</w:t>
              </w:r>
            </w:hyperlink>
          </w:p>
        </w:tc>
      </w:tr>
    </w:tbl>
    <w:p>
      <w:r>
        <w:pict>
          <v:rect style="width:0;height:1.5pt" o:hralign="center" o:hrstd="t" o:hr="t"/>
        </w:pict>
      </w:r>
    </w:p>
    <w:bookmarkEnd w:id="129"/>
    <w:bookmarkEnd w:id="130"/>
    <w:bookmarkStart w:id="133" w:name="summary-assessment"/>
    <w:p>
      <w:pPr>
        <w:pStyle w:val="Heading2"/>
      </w:pPr>
      <w:r>
        <w:t xml:space="preserve">14. Summary Assessment</w:t>
      </w:r>
    </w:p>
    <w:bookmarkStart w:id="131" w:name="what-the-data-shows"/>
    <w:p>
      <w:pPr>
        <w:pStyle w:val="Heading3"/>
      </w:pPr>
      <w:r>
        <w:t xml:space="preserve">What the Data Shows</w:t>
      </w:r>
    </w:p>
    <w:p>
      <w:pPr>
        <w:numPr>
          <w:ilvl w:val="0"/>
          <w:numId w:val="1020"/>
        </w:numPr>
      </w:pPr>
      <w:r>
        <w:rPr>
          <w:b/>
          <w:bCs/>
        </w:rPr>
        <w:t xml:space="preserve">The GBR is an enormous economic asset</w:t>
      </w:r>
      <w:r>
        <w:t xml:space="preserve"> </w:t>
      </w:r>
      <w:r>
        <w:t xml:space="preserve">— valued at $95 billion, contributing $9 billion annually, supporting 77,000 jobs. These figures have grown significantly since the 2017 baseline ($56B asset, $6.4B annual, 64,000 jobs).</w:t>
      </w:r>
    </w:p>
    <w:p>
      <w:pPr>
        <w:numPr>
          <w:ilvl w:val="0"/>
          <w:numId w:val="1020"/>
        </w:numPr>
      </w:pPr>
      <w:r>
        <w:rPr>
          <w:b/>
          <w:bCs/>
        </w:rPr>
        <w:t xml:space="preserve">Tourism is recovering post-COVID</w:t>
      </w:r>
      <w:r>
        <w:t xml:space="preserve"> </w:t>
      </w:r>
      <w:r>
        <w:t xml:space="preserve">— 2024 visitation reached ~98% of 2019 levels (2.34M visitors). However, it remains below the 2017 peak (2.62M), and the domestic/international mix has shifted significantly toward domestic visitors.</w:t>
      </w:r>
    </w:p>
    <w:p>
      <w:pPr>
        <w:numPr>
          <w:ilvl w:val="0"/>
          <w:numId w:val="1020"/>
        </w:numPr>
      </w:pPr>
      <w:r>
        <w:rPr>
          <w:b/>
          <w:bCs/>
        </w:rPr>
        <w:t xml:space="preserve">Bleaching has measurably affected tourism sentiment</w:t>
      </w:r>
      <w:r>
        <w:t xml:space="preserve"> </w:t>
      </w:r>
      <w:r>
        <w:t xml:space="preserve">— visitor satisfaction, perceptions of reef condition, and optimism about the reef’s future all declined significantly between 2013 and 2017. However, actual visitor numbers have not (yet) shown a dramatic permanent decline attributable to bleaching alone.</w:t>
      </w:r>
    </w:p>
    <w:p>
      <w:pPr>
        <w:numPr>
          <w:ilvl w:val="0"/>
          <w:numId w:val="1020"/>
        </w:numPr>
      </w:pPr>
      <w:r>
        <w:rPr>
          <w:b/>
          <w:bCs/>
        </w:rPr>
        <w:t xml:space="preserve">The</w:t>
      </w:r>
      <w:r>
        <w:rPr>
          <w:b/>
          <w:bCs/>
        </w:rPr>
        <w:t xml:space="preserve"> </w:t>
      </w:r>
      <w:r>
        <w:rPr>
          <w:b/>
          <w:bCs/>
        </w:rPr>
        <w:t xml:space="preserve">“last chance tourism”</w:t>
      </w:r>
      <w:r>
        <w:rPr>
          <w:b/>
          <w:bCs/>
        </w:rPr>
        <w:t xml:space="preserve"> </w:t>
      </w:r>
      <w:r>
        <w:rPr>
          <w:b/>
          <w:bCs/>
        </w:rPr>
        <w:t xml:space="preserve">effect may be masking underlying damage</w:t>
      </w:r>
      <w:r>
        <w:t xml:space="preserve"> </w:t>
      </w:r>
      <w:r>
        <w:t xml:space="preserve">— with 69% of visitors motivated by wanting to see the reef</w:t>
      </w:r>
      <w:r>
        <w:t xml:space="preserve"> </w:t>
      </w:r>
      <w:r>
        <w:t xml:space="preserve">“before it’s gone,”</w:t>
      </w:r>
      <w:r>
        <w:t xml:space="preserve"> </w:t>
      </w:r>
      <w:r>
        <w:t xml:space="preserve">current visitor numbers may be artificially supported by urgency that will eventually dissipate if the reef degrades further.</w:t>
      </w:r>
    </w:p>
    <w:p>
      <w:pPr>
        <w:numPr>
          <w:ilvl w:val="0"/>
          <w:numId w:val="1020"/>
        </w:numPr>
      </w:pPr>
      <w:r>
        <w:rPr>
          <w:b/>
          <w:bCs/>
        </w:rPr>
        <w:t xml:space="preserve">Tourism is heavily concentrated</w:t>
      </w:r>
      <w:r>
        <w:t xml:space="preserve"> </w:t>
      </w:r>
      <w:r>
        <w:t xml:space="preserve">— 86% of visits occur in Cairns/Port Douglas/Whitsundays waters, covering just 7% of the Marine Park. This concentration creates both vulnerability (if those areas degrade) and opportunity (large areas of relatively unvisited reef exist).</w:t>
      </w:r>
    </w:p>
    <w:p>
      <w:pPr>
        <w:numPr>
          <w:ilvl w:val="0"/>
          <w:numId w:val="1020"/>
        </w:numPr>
      </w:pPr>
      <w:r>
        <w:rPr>
          <w:b/>
          <w:bCs/>
        </w:rPr>
        <w:t xml:space="preserve">Regional dependency varies</w:t>
      </w:r>
      <w:r>
        <w:t xml:space="preserve"> </w:t>
      </w:r>
      <w:r>
        <w:t xml:space="preserve">— Cairns and Whitsundays are highly dependent on reef tourism; Townsville is growing but diversified; the Southern GBR is experiencing rapid growth from a lower base.</w:t>
      </w:r>
    </w:p>
    <w:p>
      <w:pPr>
        <w:numPr>
          <w:ilvl w:val="0"/>
          <w:numId w:val="1020"/>
        </w:numPr>
      </w:pPr>
      <w:r>
        <w:rPr>
          <w:b/>
          <w:bCs/>
        </w:rPr>
        <w:t xml:space="preserve">The Southern GBR is the growth story</w:t>
      </w:r>
      <w:r>
        <w:t xml:space="preserve"> </w:t>
      </w:r>
      <w:r>
        <w:t xml:space="preserve">— record international visitor numbers, strong domestic growth, and diversification of the traditional Cairns-centric tourism model.</w:t>
      </w:r>
    </w:p>
    <w:p>
      <w:pPr>
        <w:numPr>
          <w:ilvl w:val="0"/>
          <w:numId w:val="1020"/>
        </w:numPr>
      </w:pPr>
      <w:r>
        <w:rPr>
          <w:b/>
          <w:bCs/>
        </w:rPr>
        <w:t xml:space="preserve">Bleaching frequency is accelerating</w:t>
      </w:r>
      <w:r>
        <w:t xml:space="preserve"> </w:t>
      </w:r>
      <w:r>
        <w:t xml:space="preserve">— six mass events in nine years (2016-2025), compared to two in the previous 18 years (1998, 2002). This is the fundamental threat to the long-term tourism proposition.</w:t>
      </w:r>
    </w:p>
    <w:bookmarkEnd w:id="131"/>
    <w:bookmarkStart w:id="132" w:name="key-uncertainties"/>
    <w:p>
      <w:pPr>
        <w:pStyle w:val="Heading3"/>
      </w:pPr>
      <w:r>
        <w:t xml:space="preserve">Key Uncertainties</w:t>
      </w:r>
    </w:p>
    <w:p>
      <w:pPr>
        <w:pStyle w:val="Compact"/>
        <w:numPr>
          <w:ilvl w:val="0"/>
          <w:numId w:val="1021"/>
        </w:numPr>
      </w:pPr>
      <w:r>
        <w:t xml:space="preserve">Whether post-COVID recovery will plateau below 2017 peak levels permanently</w:t>
      </w:r>
    </w:p>
    <w:p>
      <w:pPr>
        <w:pStyle w:val="Compact"/>
        <w:numPr>
          <w:ilvl w:val="0"/>
          <w:numId w:val="1021"/>
        </w:numPr>
      </w:pPr>
      <w:r>
        <w:t xml:space="preserve">Whether accelerating bleaching frequency will eventually cause a tipping point in tourist perceptions</w:t>
      </w:r>
    </w:p>
    <w:p>
      <w:pPr>
        <w:pStyle w:val="Compact"/>
        <w:numPr>
          <w:ilvl w:val="0"/>
          <w:numId w:val="1021"/>
        </w:numPr>
      </w:pPr>
      <w:r>
        <w:t xml:space="preserve">How quickly Chinese and other Asian tourist markets will return</w:t>
      </w:r>
    </w:p>
    <w:p>
      <w:pPr>
        <w:pStyle w:val="Compact"/>
        <w:numPr>
          <w:ilvl w:val="0"/>
          <w:numId w:val="1021"/>
        </w:numPr>
      </w:pPr>
      <w:r>
        <w:t xml:space="preserve">Whether</w:t>
      </w:r>
      <w:r>
        <w:t xml:space="preserve"> </w:t>
      </w:r>
      <w:r>
        <w:t xml:space="preserve">“last chance tourism”</w:t>
      </w:r>
      <w:r>
        <w:t xml:space="preserve"> </w:t>
      </w:r>
      <w:r>
        <w:t xml:space="preserve">will sustain or eventually depress visitor numbers</w:t>
      </w:r>
    </w:p>
    <w:p>
      <w:pPr>
        <w:pStyle w:val="Compact"/>
        <w:numPr>
          <w:ilvl w:val="0"/>
          <w:numId w:val="1021"/>
        </w:numPr>
      </w:pPr>
      <w:r>
        <w:t xml:space="preserve">The degree to which Southern GBR growth can offset potential declines in the traditional north</w:t>
      </w:r>
    </w:p>
    <w:bookmarkEnd w:id="132"/>
    <w:bookmarkEnd w:id="133"/>
    <w:bookmarkEnd w:id="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barrierreef.org/uploads/Summary-At-What-Cost-Safeguarding-the-Great-Barrier-Reef-s-role-in-Australia-s-Economy.pdf" TargetMode="External" /><Relationship Type="http://schemas.openxmlformats.org/officeDocument/2006/relationships/hyperlink" Id="rId21" Target="https://barrierreef.org/uploads/deloitte-au-economics-great-barrier-reef-230617.pdf" TargetMode="External" /><Relationship Type="http://schemas.openxmlformats.org/officeDocument/2006/relationships/hyperlink" Id="rId57" Target="https://blog.nationalgeographic.org/2017/06/26/great-barrier-reef-supports-64000-jobs-and-generates-6-4-billion-for-australian-economy-deloitte-calculates/" TargetMode="External" /><Relationship Type="http://schemas.openxmlformats.org/officeDocument/2006/relationships/hyperlink" Id="rId127" Target="https://capricornenterprise.com.au/" TargetMode="External" /><Relationship Type="http://schemas.openxmlformats.org/officeDocument/2006/relationships/hyperlink" Id="rId69" Target="https://capricornenterprise.com.au/2025/09/southern-great-barrier-reef-tourism-hits-record-highs/" TargetMode="External" /><Relationship Type="http://schemas.openxmlformats.org/officeDocument/2006/relationships/hyperlink" Id="rId63" Target="https://choose.cairns.qld.gov.au/work/cairns-economy" TargetMode="External" /><Relationship Type="http://schemas.openxmlformats.org/officeDocument/2006/relationships/hyperlink" Id="rId114" Target="https://coralvita.co/coral-cafe/economic-impact-of-coral-reef-loss/" TargetMode="External" /><Relationship Type="http://schemas.openxmlformats.org/officeDocument/2006/relationships/hyperlink" Id="rId109" Target="https://eatlas.org.au/seltmp/commercial-fishers" TargetMode="External" /><Relationship Type="http://schemas.openxmlformats.org/officeDocument/2006/relationships/hyperlink" Id="rId88" Target="https://eatlas.org.au/seltmp/tourists-tourism-operators" TargetMode="External" /><Relationship Type="http://schemas.openxmlformats.org/officeDocument/2006/relationships/hyperlink" Id="rId62" Target="https://economy.id.com.au/cairns" TargetMode="External" /><Relationship Type="http://schemas.openxmlformats.org/officeDocument/2006/relationships/hyperlink" Id="rId61" Target="https://economy.id.com.au/cairns/tourism-value" TargetMode="External" /><Relationship Type="http://schemas.openxmlformats.org/officeDocument/2006/relationships/hyperlink" Id="rId126" Target="https://economy.id.com.au/townsville" TargetMode="External" /><Relationship Type="http://schemas.openxmlformats.org/officeDocument/2006/relationships/hyperlink" Id="rId67" Target="https://economy.id.com.au/townsville/tourism-value" TargetMode="External" /><Relationship Type="http://schemas.openxmlformats.org/officeDocument/2006/relationships/hyperlink" Id="rId118" Target="https://elibrary.gbrmpa.gov.au/entities/publication/5fb73ad8-c2ba-4ae9-9608-73cd9dd08e85" TargetMode="External" /><Relationship Type="http://schemas.openxmlformats.org/officeDocument/2006/relationships/hyperlink" Id="rId37" Target="https://en.wikipedia.org/wiki/Tourism_on_the_Great_Barrier_Reef" TargetMode="External" /><Relationship Type="http://schemas.openxmlformats.org/officeDocument/2006/relationships/hyperlink" Id="rId26" Target="https://minister.dcceew.gov.au/watt/media-releases/joint-media-release-great-barrier-reef-valued-95bn-and-supports-77000-jobs-report-finds" TargetMode="External" /><Relationship Type="http://schemas.openxmlformats.org/officeDocument/2006/relationships/hyperlink" Id="rId117" Target="https://outlookreport.gbrmpa.gov.au/" TargetMode="External" /><Relationship Type="http://schemas.openxmlformats.org/officeDocument/2006/relationships/hyperlink" Id="rId38" Target="https://outlookreport.gbrmpa.gov.au/effects-human-use/5-commercial-and-non-commercial-use/52-commercial-marine-tourism/521-current-condition-and-trends-commercial-marine-tourism" TargetMode="External" /><Relationship Type="http://schemas.openxmlformats.org/officeDocument/2006/relationships/hyperlink" Id="rId108" Target="https://outlookreport.gbrmpa.gov.au/effects-human-use/5-commercial-and-non-commercial-use/54-fishing/542-benefits-fishing" TargetMode="External" /><Relationship Type="http://schemas.openxmlformats.org/officeDocument/2006/relationships/hyperlink" Id="rId122" Target="https://research.csiro.au/seltmp/" TargetMode="External" /><Relationship Type="http://schemas.openxmlformats.org/officeDocument/2006/relationships/hyperlink" Id="rId89" Target="https://research.csiro.au/seltmp/wp-content/uploads/sites/214/2019/06/SELTMP-TourismChangesReport-May2019.pdf" TargetMode="External" /><Relationship Type="http://schemas.openxmlformats.org/officeDocument/2006/relationships/hyperlink" Id="rId36" Target="https://roadgenius.com.au/statistics/tourism/australia/great-barrier-reef/" TargetMode="External" /><Relationship Type="http://schemas.openxmlformats.org/officeDocument/2006/relationships/hyperlink" Id="rId119" Target="https://teq.queensland.com/au/en/industry/research-and-insights" TargetMode="External" /><Relationship Type="http://schemas.openxmlformats.org/officeDocument/2006/relationships/hyperlink" Id="rId48" Target="https://theconversation.com/is-it-too-cheap-to-visit-the-priceless-great-barrier-reef-83717" TargetMode="External" /><Relationship Type="http://schemas.openxmlformats.org/officeDocument/2006/relationships/hyperlink" Id="rId96" Target="https://theconversation.com/survey-two-thirds-of-great-barrier-reef-tourists-want-to-see-it-before-its-gone-62103" TargetMode="External" /><Relationship Type="http://schemas.openxmlformats.org/officeDocument/2006/relationships/hyperlink" Id="rId23" Target="https://theconversation.com/whats-the-economic-value-of-the-great-barrier-reef-its-priceless-80061" TargetMode="External" /><Relationship Type="http://schemas.openxmlformats.org/officeDocument/2006/relationships/hyperlink" Id="rId52" Target="https://tourism.tropicalnorthqueensland.org.au/" TargetMode="External" /><Relationship Type="http://schemas.openxmlformats.org/officeDocument/2006/relationships/hyperlink" Id="rId81" Target="https://wwf.org.au/news/2024/5th-mass-bleaching-event-on-the-great-barrier-reef-in-8-years/" TargetMode="External" /><Relationship Type="http://schemas.openxmlformats.org/officeDocument/2006/relationships/hyperlink" Id="rId30" Target="https://www.abs.gov.au/statistics/environment/environmental-accounts/experimental-environmental-economic-accounts-great-barrier-reef/latest-release" TargetMode="External" /><Relationship Type="http://schemas.openxmlformats.org/officeDocument/2006/relationships/hyperlink" Id="rId123" Target="https://www.aims.gov.au/" TargetMode="External" /><Relationship Type="http://schemas.openxmlformats.org/officeDocument/2006/relationships/hyperlink" Id="rId80" Target="https://www.aims.gov.au/research-topics/environmental-issues/coral-bleaching/coral-bleaching-events" TargetMode="External" /><Relationship Type="http://schemas.openxmlformats.org/officeDocument/2006/relationships/hyperlink" Id="rId124" Target="https://www.barrierreef.org/" TargetMode="External" /><Relationship Type="http://schemas.openxmlformats.org/officeDocument/2006/relationships/hyperlink" Id="rId22" Target="https://www.barrierreef.org/news/media-release/56-billion-reasons-to-value-the-great-barrier-reef" TargetMode="External" /><Relationship Type="http://schemas.openxmlformats.org/officeDocument/2006/relationships/hyperlink" Id="rId24" Target="https://www.barrierreef.org/news/media-release/value-of-the-reef" TargetMode="External" /><Relationship Type="http://schemas.openxmlformats.org/officeDocument/2006/relationships/hyperlink" Id="rId103" Target="https://www.barrierreef.org/the-reef/the-value" TargetMode="External" /><Relationship Type="http://schemas.openxmlformats.org/officeDocument/2006/relationships/hyperlink" Id="rId82" Target="https://www.barrierreef.org/the-reef/threats/coral-bleaching" TargetMode="External" /><Relationship Type="http://schemas.openxmlformats.org/officeDocument/2006/relationships/hyperlink" Id="rId70" Target="https://www.bundabergregion.org/corporate/blog/901-sgbr-record-breaking-domestic-visitation-growth" TargetMode="External" /><Relationship Type="http://schemas.openxmlformats.org/officeDocument/2006/relationships/hyperlink" Id="rId87" Target="https://www.csiro.au/en/news/all/articles/2023/june/great-barrier-reef-residents-survey" TargetMode="External" /><Relationship Type="http://schemas.openxmlformats.org/officeDocument/2006/relationships/hyperlink" Id="rId86" Target="https://www.csiro.au/en/research/natural-environment/biodiversity/seltmp-gbr" TargetMode="External" /><Relationship Type="http://schemas.openxmlformats.org/officeDocument/2006/relationships/hyperlink" Id="rId25" Target="https://www.dcceew.gov.au/about/news/gbr-valued-95-billion-supports-77000-jobs" TargetMode="External" /><Relationship Type="http://schemas.openxmlformats.org/officeDocument/2006/relationships/hyperlink" Id="rId32" Target="https://www.dcceew.gov.au/parks-heritage/great-barrier-reef/publications/economic-contribution-great-barrier-reef-march-2013" TargetMode="External" /><Relationship Type="http://schemas.openxmlformats.org/officeDocument/2006/relationships/hyperlink" Id="rId20" Target="https://www.deloitte.com/au/en/services/economics/perspectives/great-barrier-reef.html" TargetMode="External" /><Relationship Type="http://schemas.openxmlformats.org/officeDocument/2006/relationships/hyperlink" Id="rId84" Target="https://www.nature.com/articles/s41558-019-0504-y" TargetMode="External" /><Relationship Type="http://schemas.openxmlformats.org/officeDocument/2006/relationships/hyperlink" Id="rId95" Target="https://www.sciencedaily.com/releases/2016/09/160922085356.htm" TargetMode="External" /><Relationship Type="http://schemas.openxmlformats.org/officeDocument/2006/relationships/hyperlink" Id="rId120" Target="https://www.stateoftheenvironment.detsi.qld.gov.au/great-barrier-reef/indicators/direct-use-and-the-great-barrier-reef" TargetMode="External" /><Relationship Type="http://schemas.openxmlformats.org/officeDocument/2006/relationships/hyperlink" Id="rId113" Target="https://www.swissre.com/risk-knowledge/mitigating-climate-risk/insurance-protecting-coral-reef.html" TargetMode="External" /><Relationship Type="http://schemas.openxmlformats.org/officeDocument/2006/relationships/hyperlink" Id="rId94" Target="https://www.tandfonline.com/doi/abs/10.1080/09669582.2016.1213849" TargetMode="External" /><Relationship Type="http://schemas.openxmlformats.org/officeDocument/2006/relationships/hyperlink" Id="rId128" Target="https://www.townsvilleenterprise.com.au/" TargetMode="External" /><Relationship Type="http://schemas.openxmlformats.org/officeDocument/2006/relationships/hyperlink" Id="rId66" Target="https://www.townsvilleenterprise.com.au/townsville-north-queensland-sees-record-breaking-tourism-growth/" TargetMode="External" /><Relationship Type="http://schemas.openxmlformats.org/officeDocument/2006/relationships/hyperlink" Id="rId46" Target="https://www2.gbrmpa.gov.au/access/environmental-management-charge" TargetMode="External" /><Relationship Type="http://schemas.openxmlformats.org/officeDocument/2006/relationships/hyperlink" Id="rId47" Target="https://www2.gbrmpa.gov.au/access/environmental-management-charge/what-are-charges" TargetMode="External" /><Relationship Type="http://schemas.openxmlformats.org/officeDocument/2006/relationships/hyperlink" Id="rId107" Target="https://www2.gbrmpa.gov.au/access/zoning/commercial-fishing-and-zoning" TargetMode="External" /><Relationship Type="http://schemas.openxmlformats.org/officeDocument/2006/relationships/hyperlink" Id="rId35" Target="https://www2.gbrmpa.gov.au/help/tourism-visitation-data" TargetMode="External" /><Relationship Type="http://schemas.openxmlformats.org/officeDocument/2006/relationships/hyperlink" Id="rId76" Target="https://www2.gbrmpa.gov.au/our-work/managing-activities-and-use/cruise-ships" TargetMode="External" /><Relationship Type="http://schemas.openxmlformats.org/officeDocument/2006/relationships/hyperlink" Id="rId77" Target="https://www2.gbrmpa.gov.au/our-work/managing-activities-and-use/tourism/tourism-industry" TargetMode="External" /><Relationship Type="http://schemas.openxmlformats.org/officeDocument/2006/relationships/hyperlink" Id="rId75" Target="https://www2.gbrmpa.gov.au/visit/choosing-high-standard-tourism-operation" TargetMode="External" /></Relationships>
</file>

<file path=word/_rels/footnotes.xml.rels><?xml version="1.0" encoding="UTF-8"?><Relationships xmlns="http://schemas.openxmlformats.org/package/2006/relationships"><Relationship Type="http://schemas.openxmlformats.org/officeDocument/2006/relationships/hyperlink" Id="rId27" Target="https://barrierreef.org/uploads/Summary-At-What-Cost-Safeguarding-the-Great-Barrier-Reef-s-role-in-Australia-s-Economy.pdf" TargetMode="External" /><Relationship Type="http://schemas.openxmlformats.org/officeDocument/2006/relationships/hyperlink" Id="rId21" Target="https://barrierreef.org/uploads/deloitte-au-economics-great-barrier-reef-230617.pdf" TargetMode="External" /><Relationship Type="http://schemas.openxmlformats.org/officeDocument/2006/relationships/hyperlink" Id="rId57" Target="https://blog.nationalgeographic.org/2017/06/26/great-barrier-reef-supports-64000-jobs-and-generates-6-4-billion-for-australian-economy-deloitte-calculates/" TargetMode="External" /><Relationship Type="http://schemas.openxmlformats.org/officeDocument/2006/relationships/hyperlink" Id="rId127" Target="https://capricornenterprise.com.au/" TargetMode="External" /><Relationship Type="http://schemas.openxmlformats.org/officeDocument/2006/relationships/hyperlink" Id="rId69" Target="https://capricornenterprise.com.au/2025/09/southern-great-barrier-reef-tourism-hits-record-highs/" TargetMode="External" /><Relationship Type="http://schemas.openxmlformats.org/officeDocument/2006/relationships/hyperlink" Id="rId63" Target="https://choose.cairns.qld.gov.au/work/cairns-economy" TargetMode="External" /><Relationship Type="http://schemas.openxmlformats.org/officeDocument/2006/relationships/hyperlink" Id="rId114" Target="https://coralvita.co/coral-cafe/economic-impact-of-coral-reef-loss/" TargetMode="External" /><Relationship Type="http://schemas.openxmlformats.org/officeDocument/2006/relationships/hyperlink" Id="rId109" Target="https://eatlas.org.au/seltmp/commercial-fishers" TargetMode="External" /><Relationship Type="http://schemas.openxmlformats.org/officeDocument/2006/relationships/hyperlink" Id="rId88" Target="https://eatlas.org.au/seltmp/tourists-tourism-operators" TargetMode="External" /><Relationship Type="http://schemas.openxmlformats.org/officeDocument/2006/relationships/hyperlink" Id="rId62" Target="https://economy.id.com.au/cairns" TargetMode="External" /><Relationship Type="http://schemas.openxmlformats.org/officeDocument/2006/relationships/hyperlink" Id="rId61" Target="https://economy.id.com.au/cairns/tourism-value" TargetMode="External" /><Relationship Type="http://schemas.openxmlformats.org/officeDocument/2006/relationships/hyperlink" Id="rId126" Target="https://economy.id.com.au/townsville" TargetMode="External" /><Relationship Type="http://schemas.openxmlformats.org/officeDocument/2006/relationships/hyperlink" Id="rId67" Target="https://economy.id.com.au/townsville/tourism-value" TargetMode="External" /><Relationship Type="http://schemas.openxmlformats.org/officeDocument/2006/relationships/hyperlink" Id="rId118" Target="https://elibrary.gbrmpa.gov.au/entities/publication/5fb73ad8-c2ba-4ae9-9608-73cd9dd08e85" TargetMode="External" /><Relationship Type="http://schemas.openxmlformats.org/officeDocument/2006/relationships/hyperlink" Id="rId37" Target="https://en.wikipedia.org/wiki/Tourism_on_the_Great_Barrier_Reef" TargetMode="External" /><Relationship Type="http://schemas.openxmlformats.org/officeDocument/2006/relationships/hyperlink" Id="rId26" Target="https://minister.dcceew.gov.au/watt/media-releases/joint-media-release-great-barrier-reef-valued-95bn-and-supports-77000-jobs-report-finds" TargetMode="External" /><Relationship Type="http://schemas.openxmlformats.org/officeDocument/2006/relationships/hyperlink" Id="rId117" Target="https://outlookreport.gbrmpa.gov.au/" TargetMode="External" /><Relationship Type="http://schemas.openxmlformats.org/officeDocument/2006/relationships/hyperlink" Id="rId38" Target="https://outlookreport.gbrmpa.gov.au/effects-human-use/5-commercial-and-non-commercial-use/52-commercial-marine-tourism/521-current-condition-and-trends-commercial-marine-tourism" TargetMode="External" /><Relationship Type="http://schemas.openxmlformats.org/officeDocument/2006/relationships/hyperlink" Id="rId108" Target="https://outlookreport.gbrmpa.gov.au/effects-human-use/5-commercial-and-non-commercial-use/54-fishing/542-benefits-fishing" TargetMode="External" /><Relationship Type="http://schemas.openxmlformats.org/officeDocument/2006/relationships/hyperlink" Id="rId122" Target="https://research.csiro.au/seltmp/" TargetMode="External" /><Relationship Type="http://schemas.openxmlformats.org/officeDocument/2006/relationships/hyperlink" Id="rId89" Target="https://research.csiro.au/seltmp/wp-content/uploads/sites/214/2019/06/SELTMP-TourismChangesReport-May2019.pdf" TargetMode="External" /><Relationship Type="http://schemas.openxmlformats.org/officeDocument/2006/relationships/hyperlink" Id="rId36" Target="https://roadgenius.com.au/statistics/tourism/australia/great-barrier-reef/" TargetMode="External" /><Relationship Type="http://schemas.openxmlformats.org/officeDocument/2006/relationships/hyperlink" Id="rId119" Target="https://teq.queensland.com/au/en/industry/research-and-insights" TargetMode="External" /><Relationship Type="http://schemas.openxmlformats.org/officeDocument/2006/relationships/hyperlink" Id="rId48" Target="https://theconversation.com/is-it-too-cheap-to-visit-the-priceless-great-barrier-reef-83717" TargetMode="External" /><Relationship Type="http://schemas.openxmlformats.org/officeDocument/2006/relationships/hyperlink" Id="rId96" Target="https://theconversation.com/survey-two-thirds-of-great-barrier-reef-tourists-want-to-see-it-before-its-gone-62103" TargetMode="External" /><Relationship Type="http://schemas.openxmlformats.org/officeDocument/2006/relationships/hyperlink" Id="rId23" Target="https://theconversation.com/whats-the-economic-value-of-the-great-barrier-reef-its-priceless-80061" TargetMode="External" /><Relationship Type="http://schemas.openxmlformats.org/officeDocument/2006/relationships/hyperlink" Id="rId52" Target="https://tourism.tropicalnorthqueensland.org.au/" TargetMode="External" /><Relationship Type="http://schemas.openxmlformats.org/officeDocument/2006/relationships/hyperlink" Id="rId81" Target="https://wwf.org.au/news/2024/5th-mass-bleaching-event-on-the-great-barrier-reef-in-8-years/" TargetMode="External" /><Relationship Type="http://schemas.openxmlformats.org/officeDocument/2006/relationships/hyperlink" Id="rId30" Target="https://www.abs.gov.au/statistics/environment/environmental-accounts/experimental-environmental-economic-accounts-great-barrier-reef/latest-release" TargetMode="External" /><Relationship Type="http://schemas.openxmlformats.org/officeDocument/2006/relationships/hyperlink" Id="rId123" Target="https://www.aims.gov.au/" TargetMode="External" /><Relationship Type="http://schemas.openxmlformats.org/officeDocument/2006/relationships/hyperlink" Id="rId80" Target="https://www.aims.gov.au/research-topics/environmental-issues/coral-bleaching/coral-bleaching-events" TargetMode="External" /><Relationship Type="http://schemas.openxmlformats.org/officeDocument/2006/relationships/hyperlink" Id="rId124" Target="https://www.barrierreef.org/" TargetMode="External" /><Relationship Type="http://schemas.openxmlformats.org/officeDocument/2006/relationships/hyperlink" Id="rId22" Target="https://www.barrierreef.org/news/media-release/56-billion-reasons-to-value-the-great-barrier-reef" TargetMode="External" /><Relationship Type="http://schemas.openxmlformats.org/officeDocument/2006/relationships/hyperlink" Id="rId24" Target="https://www.barrierreef.org/news/media-release/value-of-the-reef" TargetMode="External" /><Relationship Type="http://schemas.openxmlformats.org/officeDocument/2006/relationships/hyperlink" Id="rId103" Target="https://www.barrierreef.org/the-reef/the-value" TargetMode="External" /><Relationship Type="http://schemas.openxmlformats.org/officeDocument/2006/relationships/hyperlink" Id="rId82" Target="https://www.barrierreef.org/the-reef/threats/coral-bleaching" TargetMode="External" /><Relationship Type="http://schemas.openxmlformats.org/officeDocument/2006/relationships/hyperlink" Id="rId70" Target="https://www.bundabergregion.org/corporate/blog/901-sgbr-record-breaking-domestic-visitation-growth" TargetMode="External" /><Relationship Type="http://schemas.openxmlformats.org/officeDocument/2006/relationships/hyperlink" Id="rId87" Target="https://www.csiro.au/en/news/all/articles/2023/june/great-barrier-reef-residents-survey" TargetMode="External" /><Relationship Type="http://schemas.openxmlformats.org/officeDocument/2006/relationships/hyperlink" Id="rId86" Target="https://www.csiro.au/en/research/natural-environment/biodiversity/seltmp-gbr" TargetMode="External" /><Relationship Type="http://schemas.openxmlformats.org/officeDocument/2006/relationships/hyperlink" Id="rId25" Target="https://www.dcceew.gov.au/about/news/gbr-valued-95-billion-supports-77000-jobs" TargetMode="External" /><Relationship Type="http://schemas.openxmlformats.org/officeDocument/2006/relationships/hyperlink" Id="rId32" Target="https://www.dcceew.gov.au/parks-heritage/great-barrier-reef/publications/economic-contribution-great-barrier-reef-march-2013" TargetMode="External" /><Relationship Type="http://schemas.openxmlformats.org/officeDocument/2006/relationships/hyperlink" Id="rId20" Target="https://www.deloitte.com/au/en/services/economics/perspectives/great-barrier-reef.html" TargetMode="External" /><Relationship Type="http://schemas.openxmlformats.org/officeDocument/2006/relationships/hyperlink" Id="rId84" Target="https://www.nature.com/articles/s41558-019-0504-y" TargetMode="External" /><Relationship Type="http://schemas.openxmlformats.org/officeDocument/2006/relationships/hyperlink" Id="rId95" Target="https://www.sciencedaily.com/releases/2016/09/160922085356.htm" TargetMode="External" /><Relationship Type="http://schemas.openxmlformats.org/officeDocument/2006/relationships/hyperlink" Id="rId120" Target="https://www.stateoftheenvironment.detsi.qld.gov.au/great-barrier-reef/indicators/direct-use-and-the-great-barrier-reef" TargetMode="External" /><Relationship Type="http://schemas.openxmlformats.org/officeDocument/2006/relationships/hyperlink" Id="rId113" Target="https://www.swissre.com/risk-knowledge/mitigating-climate-risk/insurance-protecting-coral-reef.html" TargetMode="External" /><Relationship Type="http://schemas.openxmlformats.org/officeDocument/2006/relationships/hyperlink" Id="rId94" Target="https://www.tandfonline.com/doi/abs/10.1080/09669582.2016.1213849" TargetMode="External" /><Relationship Type="http://schemas.openxmlformats.org/officeDocument/2006/relationships/hyperlink" Id="rId128" Target="https://www.townsvilleenterprise.com.au/" TargetMode="External" /><Relationship Type="http://schemas.openxmlformats.org/officeDocument/2006/relationships/hyperlink" Id="rId66" Target="https://www.townsvilleenterprise.com.au/townsville-north-queensland-sees-record-breaking-tourism-growth/" TargetMode="External" /><Relationship Type="http://schemas.openxmlformats.org/officeDocument/2006/relationships/hyperlink" Id="rId46" Target="https://www2.gbrmpa.gov.au/access/environmental-management-charge" TargetMode="External" /><Relationship Type="http://schemas.openxmlformats.org/officeDocument/2006/relationships/hyperlink" Id="rId47" Target="https://www2.gbrmpa.gov.au/access/environmental-management-charge/what-are-charges" TargetMode="External" /><Relationship Type="http://schemas.openxmlformats.org/officeDocument/2006/relationships/hyperlink" Id="rId107" Target="https://www2.gbrmpa.gov.au/access/zoning/commercial-fishing-and-zoning" TargetMode="External" /><Relationship Type="http://schemas.openxmlformats.org/officeDocument/2006/relationships/hyperlink" Id="rId35" Target="https://www2.gbrmpa.gov.au/help/tourism-visitation-data" TargetMode="External" /><Relationship Type="http://schemas.openxmlformats.org/officeDocument/2006/relationships/hyperlink" Id="rId76" Target="https://www2.gbrmpa.gov.au/our-work/managing-activities-and-use/cruise-ships" TargetMode="External" /><Relationship Type="http://schemas.openxmlformats.org/officeDocument/2006/relationships/hyperlink" Id="rId77" Target="https://www2.gbrmpa.gov.au/our-work/managing-activities-and-use/tourism/tourism-industry" TargetMode="External" /><Relationship Type="http://schemas.openxmlformats.org/officeDocument/2006/relationships/hyperlink" Id="rId75" Target="https://www2.gbrmpa.gov.au/visit/choosing-high-standard-tourism-ope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2026-04-10T01:35:22Z</dcterms:created>
  <dcterms:modified xsi:type="dcterms:W3CDTF">2026-04-10T01:35:22Z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