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 Electric Bus Market: Fleet Size, Manufacturers, and Technology Evolution</w:t>
      </w:r>
    </w:p>
    <w:p>
      <w:pPr>
        <w:pStyle w:val="Author"/>
      </w:pPr>
      <w:r>
        <w:t xml:space="preserve">David Leitch</w:t>
      </w:r>
    </w:p>
    <w:p>
      <w:pPr>
        <w:pStyle w:val="Date"/>
      </w:pPr>
      <w:r>
        <w:t xml:space="preserve">2026-03-16</w:t>
      </w:r>
    </w:p>
    <w:bookmarkStart w:id="20" w:name="summary"/>
    <w:p>
      <w:pPr>
        <w:pStyle w:val="Heading1"/>
      </w:pPr>
      <w:r>
        <w:t xml:space="preserve">Summary</w:t>
      </w:r>
    </w:p>
    <w:p>
      <w:pPr>
        <w:pStyle w:val="FirstParagraph"/>
      </w:pPr>
      <w:r>
        <w:t xml:space="preserve">The global electric bus fleet reached approximately 780,000 vehicles at end-2024, with over 70,000 sold during the year</w:t>
      </w:r>
      <w:r>
        <w:t xml:space="preserve"> </w:t>
      </w:r>
      <w:r>
        <w:t xml:space="preserve">(International Energy Agency, 2025)</w:t>
      </w:r>
      <w:r>
        <w:t xml:space="preserve">. China dominates overwhelmingly — its 680,000+ electric buses represent roughly 87% of the global stock, and 30% of all buses on Chinese roads are now electric. Outside China, Europe is the fastest-growing market, with EU city bus registrations hitting 60% zero-emission in 2025</w:t>
      </w:r>
      <w:r>
        <w:t xml:space="preserve"> </w:t>
      </w:r>
      <w:r>
        <w:t xml:space="preserve">(Sustainable Bus, 2026c)</w:t>
      </w:r>
      <w:r>
        <w:t xml:space="preserve">. India overtook the United States in sales volume in 2024.</w:t>
      </w:r>
    </w:p>
    <w:p>
      <w:pPr>
        <w:pStyle w:val="BodyText"/>
      </w:pPr>
      <w:r>
        <w:t xml:space="preserve">Battery technology has progressed dramatically: typical 12m bus battery capacity has grown from 100–340 kWh in 2010–2014 to 400–740 kWh in current models, while pack costs have fallen roughly 90% since 2008</w:t>
      </w:r>
      <w:r>
        <w:t xml:space="preserve"> </w:t>
      </w:r>
      <w:r>
        <w:t xml:space="preserve">(Teslarati, 2024)</w:t>
      </w:r>
      <w:r>
        <w:t xml:space="preserve">.</w:t>
      </w:r>
    </w:p>
    <w:p>
      <w:r>
        <w:pict>
          <v:rect style="width:0;height:1.5pt" o:hralign="center" o:hrstd="t" o:hr="t"/>
        </w:pict>
      </w:r>
    </w:p>
    <w:bookmarkEnd w:id="20"/>
    <w:bookmarkStart w:id="23" w:name="global-fleet-and-sales"/>
    <w:p>
      <w:pPr>
        <w:pStyle w:val="Heading1"/>
      </w:pPr>
      <w:r>
        <w:t xml:space="preserve">Global Fleet and Sales</w:t>
      </w:r>
    </w:p>
    <w:bookmarkStart w:id="21" w:name="fleet-stock"/>
    <w:p>
      <w:pPr>
        <w:pStyle w:val="Heading2"/>
      </w:pPr>
      <w:r>
        <w:t xml:space="preserve">Fleet stock</w:t>
      </w:r>
    </w:p>
    <w:p>
      <w:pPr>
        <w:pStyle w:val="FirstParagraph"/>
      </w:pPr>
      <w:r>
        <w:t xml:space="preserve">The IEA’s Global EV Outlook 2025 reports approximately 780,000 electric buses on the world’s roads at end-2024</w:t>
      </w:r>
      <w:r>
        <w:t xml:space="preserve"> </w:t>
      </w:r>
      <w:r>
        <w:t xml:space="preserve">(International Energy Agency, 2025)</w:t>
      </w:r>
      <w:r>
        <w:t xml:space="preserve">. China accounts for 680,000+ of these, followed by Europe, India, and the United States.</w:t>
      </w:r>
    </w:p>
    <w:p>
      <w:pPr>
        <w:pStyle w:val="BodyText"/>
      </w:pPr>
      <w:r>
        <w:rPr>
          <w:b/>
          <w:bCs/>
        </w:rPr>
        <w:t xml:space="preserve">Global Electric Bus Fleet Stock (end-2024)</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Region</w:t>
            </w:r>
          </w:p>
        </w:tc>
        <w:tc>
          <w:tcPr/>
          <w:p>
            <w:pPr>
              <w:pStyle w:val="Compact"/>
              <w:jc w:val="right"/>
            </w:pPr>
            <w:r>
              <w:t xml:space="preserve">Stock</w:t>
            </w:r>
          </w:p>
        </w:tc>
        <w:tc>
          <w:tcPr/>
          <w:p>
            <w:pPr>
              <w:pStyle w:val="Compact"/>
              <w:jc w:val="right"/>
            </w:pPr>
            <w:r>
              <w:t xml:space="preserve">Electric share of fleet</w:t>
            </w:r>
          </w:p>
        </w:tc>
      </w:tr>
      <w:tr>
        <w:tc>
          <w:tcPr/>
          <w:p>
            <w:pPr>
              <w:pStyle w:val="Compact"/>
              <w:jc w:val="left"/>
            </w:pPr>
            <w:r>
              <w:t xml:space="preserve">China</w:t>
            </w:r>
          </w:p>
        </w:tc>
        <w:tc>
          <w:tcPr/>
          <w:p>
            <w:pPr>
              <w:pStyle w:val="Compact"/>
              <w:jc w:val="right"/>
            </w:pPr>
            <w:r>
              <w:t xml:space="preserve">680,000+</w:t>
            </w:r>
          </w:p>
        </w:tc>
        <w:tc>
          <w:tcPr/>
          <w:p>
            <w:pPr>
              <w:pStyle w:val="Compact"/>
              <w:jc w:val="right"/>
            </w:pPr>
            <w:r>
              <w:t xml:space="preserve">30%</w:t>
            </w:r>
          </w:p>
        </w:tc>
      </w:tr>
      <w:tr>
        <w:tc>
          <w:tcPr/>
          <w:p>
            <w:pPr>
              <w:pStyle w:val="Compact"/>
              <w:jc w:val="left"/>
            </w:pPr>
            <w:r>
              <w:t xml:space="preserve">Europe</w:t>
            </w:r>
          </w:p>
        </w:tc>
        <w:tc>
          <w:tcPr/>
          <w:p>
            <w:pPr>
              <w:pStyle w:val="Compact"/>
              <w:jc w:val="right"/>
            </w:pPr>
            <w:r>
              <w:t xml:space="preserve">~30,000</w:t>
            </w:r>
          </w:p>
        </w:tc>
        <w:tc>
          <w:tcPr/>
          <w:p>
            <w:pPr>
              <w:pStyle w:val="Compact"/>
              <w:jc w:val="right"/>
            </w:pPr>
            <w:r>
              <w:t xml:space="preserve">~2%</w:t>
            </w:r>
          </w:p>
        </w:tc>
      </w:tr>
      <w:tr>
        <w:tc>
          <w:tcPr/>
          <w:p>
            <w:pPr>
              <w:pStyle w:val="Compact"/>
              <w:jc w:val="left"/>
            </w:pPr>
            <w:r>
              <w:t xml:space="preserve">India</w:t>
            </w:r>
          </w:p>
        </w:tc>
        <w:tc>
          <w:tcPr/>
          <w:p>
            <w:pPr>
              <w:pStyle w:val="Compact"/>
              <w:jc w:val="right"/>
            </w:pPr>
            <w:r>
              <w:t xml:space="preserve">11,500+</w:t>
            </w:r>
          </w:p>
        </w:tc>
        <w:tc>
          <w:tcPr/>
          <w:p>
            <w:pPr>
              <w:pStyle w:val="Compact"/>
              <w:jc w:val="right"/>
            </w:pPr>
            <w:r>
              <w:t xml:space="preserve">&lt;1%</w:t>
            </w:r>
          </w:p>
        </w:tc>
      </w:tr>
      <w:tr>
        <w:tc>
          <w:tcPr/>
          <w:p>
            <w:pPr>
              <w:pStyle w:val="Compact"/>
              <w:jc w:val="left"/>
            </w:pPr>
            <w:r>
              <w:t xml:space="preserve">United States</w:t>
            </w:r>
          </w:p>
        </w:tc>
        <w:tc>
          <w:tcPr/>
          <w:p>
            <w:pPr>
              <w:pStyle w:val="Compact"/>
              <w:jc w:val="right"/>
            </w:pPr>
            <w:r>
              <w:t xml:space="preserve">~8,000</w:t>
            </w:r>
          </w:p>
        </w:tc>
        <w:tc>
          <w:tcPr/>
          <w:p>
            <w:pPr>
              <w:pStyle w:val="Compact"/>
              <w:jc w:val="right"/>
            </w:pPr>
            <w:r>
              <w:t xml:space="preserve">&lt;1%</w:t>
            </w:r>
          </w:p>
        </w:tc>
      </w:tr>
      <w:tr>
        <w:tc>
          <w:tcPr/>
          <w:p>
            <w:pPr>
              <w:pStyle w:val="Compact"/>
              <w:jc w:val="left"/>
            </w:pPr>
            <w:r>
              <w:t xml:space="preserve">Rest of world</w:t>
            </w:r>
          </w:p>
        </w:tc>
        <w:tc>
          <w:tcPr/>
          <w:p>
            <w:pPr>
              <w:pStyle w:val="Compact"/>
              <w:jc w:val="right"/>
            </w:pPr>
            <w:r>
              <w:t xml:space="preserve">~50,000</w:t>
            </w:r>
          </w:p>
        </w:tc>
        <w:tc>
          <w:tcPr/>
          <w:p>
            <w:pPr>
              <w:pStyle w:val="Compact"/>
              <w:jc w:val="right"/>
            </w:pPr>
            <w:r>
              <w:t xml:space="preserve">—</w:t>
            </w:r>
          </w:p>
        </w:tc>
      </w:tr>
    </w:tbl>
    <w:p>
      <w:pPr>
        <w:pStyle w:val="BodyText"/>
      </w:pPr>
      <w:r>
        <w:rPr>
          <w:i/>
          <w:iCs/>
        </w:rPr>
        <w:t xml:space="preserve">Sources: IEA</w:t>
      </w:r>
      <w:r>
        <w:rPr>
          <w:i/>
          <w:iCs/>
        </w:rPr>
        <w:t xml:space="preserve"> </w:t>
      </w:r>
      <w:r>
        <w:rPr>
          <w:i/>
          <w:iCs/>
        </w:rPr>
        <w:t xml:space="preserve">(International Energy Agency, 2025)</w:t>
      </w:r>
      <w:r>
        <w:rPr>
          <w:i/>
          <w:iCs/>
        </w:rPr>
        <w:t xml:space="preserve">, Sustainable Bus</w:t>
      </w:r>
      <w:r>
        <w:rPr>
          <w:i/>
          <w:iCs/>
        </w:rPr>
        <w:t xml:space="preserve"> </w:t>
      </w:r>
      <w:r>
        <w:rPr>
          <w:i/>
          <w:iCs/>
        </w:rPr>
        <w:t xml:space="preserve">(Sustainable Bus, 2025b)</w:t>
      </w:r>
    </w:p>
    <w:bookmarkEnd w:id="21"/>
    <w:bookmarkStart w:id="22" w:name="sales-trends"/>
    <w:p>
      <w:pPr>
        <w:pStyle w:val="Heading2"/>
      </w:pPr>
      <w:r>
        <w:t xml:space="preserve">Sales trends</w:t>
      </w:r>
    </w:p>
    <w:p>
      <w:pPr>
        <w:pStyle w:val="FirstParagraph"/>
      </w:pPr>
      <w:r>
        <w:t xml:space="preserve">Global electric bus sales reached over 70,000 in 2024, a 30% increase year-on-year</w:t>
      </w:r>
      <w:r>
        <w:t xml:space="preserve"> </w:t>
      </w:r>
      <w:r>
        <w:t xml:space="preserve">(International Energy Agency, 2025)</w:t>
      </w:r>
      <w:r>
        <w:t xml:space="preserve">. China’s share of global sales has declined from ~99% in 2017 to less than 70% in 2024 as other markets grow, but it remains dominant.</w:t>
      </w:r>
    </w:p>
    <w:p>
      <w:pPr>
        <w:pStyle w:val="BodyText"/>
      </w:pPr>
      <w:r>
        <w:rPr>
          <w:b/>
          <w:bCs/>
        </w:rPr>
        <w:t xml:space="preserve">Electric Bus Sales by Major Market</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Market</w:t>
            </w:r>
          </w:p>
        </w:tc>
        <w:tc>
          <w:tcPr/>
          <w:p>
            <w:pPr>
              <w:pStyle w:val="Compact"/>
              <w:jc w:val="left"/>
            </w:pPr>
            <w:r>
              <w:t xml:space="preserve">2024 sales</w:t>
            </w:r>
          </w:p>
        </w:tc>
        <w:tc>
          <w:tcPr/>
          <w:p>
            <w:pPr>
              <w:pStyle w:val="Compact"/>
              <w:jc w:val="left"/>
            </w:pPr>
            <w:r>
              <w:t xml:space="preserve">Trend</w:t>
            </w:r>
          </w:p>
        </w:tc>
      </w:tr>
      <w:tr>
        <w:tc>
          <w:tcPr/>
          <w:p>
            <w:pPr>
              <w:pStyle w:val="Compact"/>
              <w:jc w:val="left"/>
            </w:pPr>
            <w:r>
              <w:t xml:space="preserve">China</w:t>
            </w:r>
          </w:p>
        </w:tc>
        <w:tc>
          <w:tcPr/>
          <w:p>
            <w:pPr>
              <w:pStyle w:val="Compact"/>
              <w:jc w:val="left"/>
            </w:pPr>
            <w:r>
              <w:t xml:space="preserve">~50,000+</w:t>
            </w:r>
          </w:p>
        </w:tc>
        <w:tc>
          <w:tcPr/>
          <w:p>
            <w:pPr>
              <w:pStyle w:val="Compact"/>
              <w:jc w:val="left"/>
            </w:pPr>
            <w:r>
              <w:t xml:space="preserve">Rising (replacement cycle + scrappage scheme)</w:t>
            </w:r>
          </w:p>
        </w:tc>
      </w:tr>
      <w:tr>
        <w:tc>
          <w:tcPr/>
          <w:p>
            <w:pPr>
              <w:pStyle w:val="Compact"/>
              <w:jc w:val="left"/>
            </w:pPr>
            <w:r>
              <w:t xml:space="preserve">Europe (&gt;8t)</w:t>
            </w:r>
          </w:p>
        </w:tc>
        <w:tc>
          <w:tcPr/>
          <w:p>
            <w:pPr>
              <w:pStyle w:val="Compact"/>
              <w:jc w:val="left"/>
            </w:pPr>
            <w:r>
              <w:t xml:space="preserve">7,779</w:t>
            </w:r>
          </w:p>
        </w:tc>
        <w:tc>
          <w:tcPr/>
          <w:p>
            <w:pPr>
              <w:pStyle w:val="Compact"/>
              <w:jc w:val="left"/>
            </w:pPr>
            <w:r>
              <w:t xml:space="preserve">+22% YoY; rose to 11,607 in 2025 (+48%)</w:t>
            </w:r>
          </w:p>
        </w:tc>
      </w:tr>
      <w:tr>
        <w:tc>
          <w:tcPr/>
          <w:p>
            <w:pPr>
              <w:pStyle w:val="Compact"/>
              <w:jc w:val="left"/>
            </w:pPr>
            <w:r>
              <w:t xml:space="preserve">India</w:t>
            </w:r>
          </w:p>
        </w:tc>
        <w:tc>
          <w:tcPr/>
          <w:p>
            <w:pPr>
              <w:pStyle w:val="Compact"/>
              <w:jc w:val="left"/>
            </w:pPr>
            <w:r>
              <w:t xml:space="preserve">3,200+</w:t>
            </w:r>
          </w:p>
        </w:tc>
        <w:tc>
          <w:tcPr/>
          <w:p>
            <w:pPr>
              <w:pStyle w:val="Compact"/>
              <w:jc w:val="left"/>
            </w:pPr>
            <w:r>
              <w:t xml:space="preserve">Overtook US in 2024</w:t>
            </w:r>
          </w:p>
        </w:tc>
      </w:tr>
      <w:tr>
        <w:tc>
          <w:tcPr/>
          <w:p>
            <w:pPr>
              <w:pStyle w:val="Compact"/>
              <w:jc w:val="left"/>
            </w:pPr>
            <w:r>
              <w:t xml:space="preserve">South Korea</w:t>
            </w:r>
          </w:p>
        </w:tc>
        <w:tc>
          <w:tcPr/>
          <w:p>
            <w:pPr>
              <w:pStyle w:val="Compact"/>
              <w:jc w:val="left"/>
            </w:pPr>
            <w:r>
              <w:t xml:space="preserve">2,800+</w:t>
            </w:r>
          </w:p>
        </w:tc>
        <w:tc>
          <w:tcPr/>
          <w:p>
            <w:pPr>
              <w:pStyle w:val="Compact"/>
              <w:jc w:val="left"/>
            </w:pPr>
            <w:r>
              <w:t xml:space="preserve">Overtook US in 2024</w:t>
            </w:r>
          </w:p>
        </w:tc>
      </w:tr>
      <w:tr>
        <w:tc>
          <w:tcPr/>
          <w:p>
            <w:pPr>
              <w:pStyle w:val="Compact"/>
              <w:jc w:val="left"/>
            </w:pPr>
            <w:r>
              <w:t xml:space="preserve">United States</w:t>
            </w:r>
          </w:p>
        </w:tc>
        <w:tc>
          <w:tcPr/>
          <w:p>
            <w:pPr>
              <w:pStyle w:val="Compact"/>
              <w:jc w:val="left"/>
            </w:pPr>
            <w:r>
              <w:t xml:space="preserve">~2,000</w:t>
            </w:r>
          </w:p>
        </w:tc>
        <w:tc>
          <w:tcPr/>
          <w:p>
            <w:pPr>
              <w:pStyle w:val="Compact"/>
              <w:jc w:val="left"/>
            </w:pPr>
            <w:r>
              <w:t xml:space="preserve">Declined ~40% from 2023 peak</w:t>
            </w:r>
          </w:p>
        </w:tc>
      </w:tr>
      <w:tr>
        <w:tc>
          <w:tcPr/>
          <w:p>
            <w:pPr>
              <w:pStyle w:val="Compact"/>
              <w:jc w:val="left"/>
            </w:pPr>
            <w:r>
              <w:t xml:space="preserve">Latin America</w:t>
            </w:r>
          </w:p>
        </w:tc>
        <w:tc>
          <w:tcPr/>
          <w:p>
            <w:pPr>
              <w:pStyle w:val="Compact"/>
              <w:jc w:val="left"/>
            </w:pPr>
            <w:r>
              <w:t xml:space="preserve">2,000+</w:t>
            </w:r>
          </w:p>
        </w:tc>
        <w:tc>
          <w:tcPr/>
          <w:p>
            <w:pPr>
              <w:pStyle w:val="Compact"/>
              <w:jc w:val="left"/>
            </w:pPr>
            <w:r>
              <w:t xml:space="preserve">Growing; Chile and Mexico leading</w:t>
            </w:r>
          </w:p>
        </w:tc>
      </w:tr>
      <w:tr>
        <w:tc>
          <w:tcPr/>
          <w:p>
            <w:pPr>
              <w:pStyle w:val="Compact"/>
              <w:jc w:val="left"/>
            </w:pPr>
            <w:r>
              <w:t xml:space="preserve">UK</w:t>
            </w:r>
          </w:p>
        </w:tc>
        <w:tc>
          <w:tcPr/>
          <w:p>
            <w:pPr>
              <w:pStyle w:val="Compact"/>
              <w:jc w:val="left"/>
            </w:pPr>
            <w:r>
              <w:t xml:space="preserve">~2,000</w:t>
            </w:r>
          </w:p>
        </w:tc>
        <w:tc>
          <w:tcPr/>
          <w:p>
            <w:pPr>
              <w:pStyle w:val="Compact"/>
              <w:jc w:val="left"/>
            </w:pPr>
            <w:r>
              <w:t xml:space="preserve">~20% of European total</w:t>
            </w:r>
          </w:p>
        </w:tc>
      </w:tr>
    </w:tbl>
    <w:p>
      <w:pPr>
        <w:pStyle w:val="BodyText"/>
      </w:pPr>
      <w:r>
        <w:rPr>
          <w:i/>
          <w:iCs/>
        </w:rPr>
        <w:t xml:space="preserve">Sources: IEA</w:t>
      </w:r>
      <w:r>
        <w:rPr>
          <w:i/>
          <w:iCs/>
        </w:rPr>
        <w:t xml:space="preserve"> </w:t>
      </w:r>
      <w:r>
        <w:rPr>
          <w:i/>
          <w:iCs/>
        </w:rPr>
        <w:t xml:space="preserve">(International Energy Agency, 2025)</w:t>
      </w:r>
      <w:r>
        <w:rPr>
          <w:i/>
          <w:iCs/>
        </w:rPr>
        <w:t xml:space="preserve">, Sustainable Bus</w:t>
      </w:r>
      <w:r>
        <w:rPr>
          <w:i/>
          <w:iCs/>
        </w:rPr>
        <w:t xml:space="preserve"> </w:t>
      </w:r>
      <w:r>
        <w:rPr>
          <w:i/>
          <w:iCs/>
        </w:rPr>
        <w:t xml:space="preserve">(Sustainable Bus, 2025a)</w:t>
      </w:r>
    </w:p>
    <w:p>
      <w:r>
        <w:pict>
          <v:rect style="width:0;height:1.5pt" o:hralign="center" o:hrstd="t" o:hr="t"/>
        </w:pict>
      </w:r>
    </w:p>
    <w:bookmarkEnd w:id="22"/>
    <w:bookmarkEnd w:id="23"/>
    <w:bookmarkStart w:id="28" w:name="electric-bus-share-of-new-sales"/>
    <w:p>
      <w:pPr>
        <w:pStyle w:val="Heading1"/>
      </w:pPr>
      <w:r>
        <w:t xml:space="preserve">Electric Bus Share of New Sales</w:t>
      </w:r>
    </w:p>
    <w:p>
      <w:pPr>
        <w:pStyle w:val="FirstParagraph"/>
      </w:pPr>
      <w:r>
        <w:t xml:space="preserve">The share of electric buses in new sales varies enormously by market and bus type.</w:t>
      </w:r>
    </w:p>
    <w:bookmarkStart w:id="24" w:name="china"/>
    <w:p>
      <w:pPr>
        <w:pStyle w:val="Heading2"/>
      </w:pPr>
      <w:r>
        <w:t xml:space="preserve">China</w:t>
      </w:r>
    </w:p>
    <w:p>
      <w:pPr>
        <w:pStyle w:val="FirstParagraph"/>
      </w:pPr>
      <w:r>
        <w:t xml:space="preserve">Chinese city bus procurement is essentially</w:t>
      </w:r>
      <w:r>
        <w:t xml:space="preserve"> </w:t>
      </w:r>
      <w:r>
        <w:rPr>
          <w:b/>
          <w:bCs/>
        </w:rPr>
        <w:t xml:space="preserve">100% electric</w:t>
      </w:r>
      <w:r>
        <w:t xml:space="preserve"> </w:t>
      </w:r>
      <w:r>
        <w:t xml:space="preserve">for new purchases</w:t>
      </w:r>
      <w:r>
        <w:t xml:space="preserve"> </w:t>
      </w:r>
      <w:r>
        <w:t xml:space="preserve">(Sustainable Bus, 2024a)</w:t>
      </w:r>
      <w:r>
        <w:t xml:space="preserve">. In H1 2024, 24% of all bus and coach sales (including intercity) were zero-emission, but the intercity coach segment was only 6% electric — long-range intercity routes remain harder to electrify.</w:t>
      </w:r>
    </w:p>
    <w:p>
      <w:pPr>
        <w:pStyle w:val="BodyText"/>
      </w:pPr>
      <w:r>
        <w:t xml:space="preserve">Almost 70% of China’s 680,000+ electric buses were deployed before 2020</w:t>
      </w:r>
      <w:r>
        <w:t xml:space="preserve"> </w:t>
      </w:r>
      <w:r>
        <w:t xml:space="preserve">(International Energy Agency, 2025)</w:t>
      </w:r>
      <w:r>
        <w:t xml:space="preserve">. Shenzhen fully electrified its fleet (~16,000 buses) by 2017. Much of the current demand is replacement-cycle driven, supported by a national city bus scrappage scheme announced in January 2025.</w:t>
      </w:r>
    </w:p>
    <w:bookmarkEnd w:id="24"/>
    <w:bookmarkStart w:id="25" w:name="europe"/>
    <w:p>
      <w:pPr>
        <w:pStyle w:val="Heading2"/>
      </w:pPr>
      <w:r>
        <w:t xml:space="preserve">Europe</w:t>
      </w:r>
    </w:p>
    <w:p>
      <w:pPr>
        <w:pStyle w:val="FirstParagraph"/>
      </w:pPr>
      <w:r>
        <w:t xml:space="preserve">EU city bus registrations reached</w:t>
      </w:r>
      <w:r>
        <w:t xml:space="preserve"> </w:t>
      </w:r>
      <w:r>
        <w:rPr>
          <w:b/>
          <w:bCs/>
        </w:rPr>
        <w:t xml:space="preserve">60% zero-emission in 2025</w:t>
      </w:r>
      <w:r>
        <w:t xml:space="preserve">, up from ~50% in 2024 and 35% in 2023</w:t>
      </w:r>
      <w:r>
        <w:t xml:space="preserve"> </w:t>
      </w:r>
      <w:r>
        <w:t xml:space="preserve">(Sustainable Bus, 2026c)</w:t>
      </w:r>
      <w:r>
        <w:t xml:space="preserve">. Several northern European countries (Denmark, Finland, Netherlands, Norway) each exceeded 40% electric share in 2023–2024</w:t>
      </w:r>
      <w:r>
        <w:t xml:space="preserve"> </w:t>
      </w:r>
      <w:r>
        <w:t xml:space="preserve">(International Energy Agency, 2025)</w:t>
      </w:r>
      <w:r>
        <w:t xml:space="preserve">.</w:t>
      </w:r>
    </w:p>
    <w:p>
      <w:pPr>
        <w:pStyle w:val="BodyText"/>
      </w:pPr>
      <w:r>
        <w:t xml:space="preserve">Total European electric bus registrations (&gt;8 tonnes) grew from 7,779 in 2024 to 11,607 in 2025, a 48% increase</w:t>
      </w:r>
      <w:r>
        <w:t xml:space="preserve"> </w:t>
      </w:r>
      <w:r>
        <w:t xml:space="preserve">(Sustainable Bus, 2026a)</w:t>
      </w:r>
      <w:r>
        <w:t xml:space="preserve">. Including other alternative powertrains, total non-diesel registrations reached 17,108 in 2025 (battery-electric 11,607; hybrid 2,565; CNG 2,378; fuel cell 558).</w:t>
      </w:r>
    </w:p>
    <w:bookmarkEnd w:id="25"/>
    <w:bookmarkStart w:id="26" w:name="india"/>
    <w:p>
      <w:pPr>
        <w:pStyle w:val="Heading2"/>
      </w:pPr>
      <w:r>
        <w:t xml:space="preserve">India</w:t>
      </w:r>
    </w:p>
    <w:p>
      <w:pPr>
        <w:pStyle w:val="FirstParagraph"/>
      </w:pPr>
      <w:r>
        <w:t xml:space="preserve">India registered 3,644 electric buses in FY2024 (~4% of annual registrations), growing to 4,441 in calendar year 2025</w:t>
      </w:r>
      <w:r>
        <w:t xml:space="preserve"> </w:t>
      </w:r>
      <w:r>
        <w:t xml:space="preserve">(Sustainable Bus, 2025b, 2026b)</w:t>
      </w:r>
      <w:r>
        <w:t xml:space="preserve">. The fleet has grown from fewer than 3,000 in 2020 to over 11,500 at end-2024. Tata Motors leads with ~40% domestic market share, followed by Olectra Greentech at ~18%. The PM eBus Sewa programme targets 10,000 buses across 169 cities.</w:t>
      </w:r>
    </w:p>
    <w:bookmarkEnd w:id="26"/>
    <w:bookmarkStart w:id="27" w:name="united-states"/>
    <w:p>
      <w:pPr>
        <w:pStyle w:val="Heading2"/>
      </w:pPr>
      <w:r>
        <w:t xml:space="preserve">United States</w:t>
      </w:r>
    </w:p>
    <w:p>
      <w:pPr>
        <w:pStyle w:val="FirstParagraph"/>
      </w:pPr>
      <w:r>
        <w:t xml:space="preserve">The US electric bus market is surprisingly small relative to GDP. Sales declined ~40% in 2024 from the 2023 peak, partly due to Proterra’s 2023 bankruptcy and supply chain disruption</w:t>
      </w:r>
      <w:r>
        <w:t xml:space="preserve"> </w:t>
      </w:r>
      <w:r>
        <w:t xml:space="preserve">(International Energy Agency, 2025)</w:t>
      </w:r>
      <w:r>
        <w:t xml:space="preserve">. Electric school buses represent roughly half the US electric bus fleet, boosted by the $5 billion Clean School Bus Program (~8,100 buses funded). Federal funding of $1.7 billion has supported over 1,300 zero-emission transit buses.</w:t>
      </w:r>
    </w:p>
    <w:p>
      <w:r>
        <w:pict>
          <v:rect style="width:0;height:1.5pt" o:hralign="center" o:hrstd="t" o:hr="t"/>
        </w:pict>
      </w:r>
    </w:p>
    <w:bookmarkEnd w:id="27"/>
    <w:bookmarkEnd w:id="28"/>
    <w:bookmarkStart w:id="31" w:name="manufacturer-market-shares"/>
    <w:p>
      <w:pPr>
        <w:pStyle w:val="Heading1"/>
      </w:pPr>
      <w:r>
        <w:t xml:space="preserve">Manufacturer Market Shares</w:t>
      </w:r>
    </w:p>
    <w:bookmarkStart w:id="29" w:name="global-picture"/>
    <w:p>
      <w:pPr>
        <w:pStyle w:val="Heading2"/>
      </w:pPr>
      <w:r>
        <w:t xml:space="preserve">Global picture</w:t>
      </w:r>
    </w:p>
    <w:p>
      <w:pPr>
        <w:pStyle w:val="FirstParagraph"/>
      </w:pPr>
      <w:r>
        <w:t xml:space="preserve">Chinese manufacturers dominate global electric bus production. BYD and Yutong are the two largest producers by volume. Yutong has delivered over 150,000 electric buses globally (cumulative). Over 15,000 electric buses were exported from China in 2024, more than 25% above the 2023 level</w:t>
      </w:r>
      <w:r>
        <w:t xml:space="preserve"> </w:t>
      </w:r>
      <w:r>
        <w:t xml:space="preserve">(International Council on Clean Transportation, 2025)</w:t>
      </w:r>
      <w:r>
        <w:t xml:space="preserve">.</w:t>
      </w:r>
    </w:p>
    <w:bookmarkEnd w:id="29"/>
    <w:bookmarkStart w:id="30" w:name="Xfa191b4ab1bf360ec919a16f436bdeada01c2ba"/>
    <w:p>
      <w:pPr>
        <w:pStyle w:val="Heading2"/>
      </w:pPr>
      <w:r>
        <w:t xml:space="preserve">European market (most detailed data available)</w:t>
      </w:r>
    </w:p>
    <w:p>
      <w:pPr>
        <w:pStyle w:val="FirstParagraph"/>
      </w:pPr>
      <w:r>
        <w:t xml:space="preserve">The European market provides the most transparent manufacturer-level data. In 2025, the top nine manufacturers were</w:t>
      </w:r>
      <w:r>
        <w:t xml:space="preserve"> </w:t>
      </w:r>
      <w:r>
        <w:t xml:space="preserve">(Sustainable Bus, 2026a)</w:t>
      </w:r>
      <w:r>
        <w:t xml:space="preserve">:</w:t>
      </w:r>
    </w:p>
    <w:p>
      <w:pPr>
        <w:pStyle w:val="BodyText"/>
      </w:pPr>
      <w:r>
        <w:rPr>
          <w:b/>
          <w:bCs/>
        </w:rPr>
        <w:t xml:space="preserve">European Electric Bus Registrations by Manufacturer (2025)</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left"/>
            </w:pPr>
            <w:r>
              <w:t xml:space="preserve">Rank</w:t>
            </w:r>
          </w:p>
        </w:tc>
        <w:tc>
          <w:tcPr/>
          <w:p>
            <w:pPr>
              <w:pStyle w:val="Compact"/>
              <w:jc w:val="left"/>
            </w:pPr>
            <w:r>
              <w:t xml:space="preserve">Manufacturer</w:t>
            </w:r>
          </w:p>
        </w:tc>
        <w:tc>
          <w:tcPr/>
          <w:p>
            <w:pPr>
              <w:pStyle w:val="Compact"/>
              <w:jc w:val="left"/>
            </w:pPr>
            <w:r>
              <w:t xml:space="preserve">Origin</w:t>
            </w:r>
          </w:p>
        </w:tc>
        <w:tc>
          <w:tcPr/>
          <w:p>
            <w:pPr>
              <w:pStyle w:val="Compact"/>
              <w:jc w:val="right"/>
            </w:pPr>
            <w:r>
              <w:t xml:space="preserve">Units</w:t>
            </w:r>
          </w:p>
        </w:tc>
        <w:tc>
          <w:tcPr/>
          <w:p>
            <w:pPr>
              <w:pStyle w:val="Compact"/>
              <w:jc w:val="right"/>
            </w:pPr>
            <w:r>
              <w:t xml:space="preserve">Share</w:t>
            </w:r>
          </w:p>
        </w:tc>
        <w:tc>
          <w:tcPr/>
          <w:p>
            <w:pPr>
              <w:pStyle w:val="Compact"/>
              <w:jc w:val="right"/>
            </w:pPr>
            <w:r>
              <w:t xml:space="preserve">YoY growth</w:t>
            </w:r>
          </w:p>
        </w:tc>
      </w:tr>
      <w:tr>
        <w:tc>
          <w:tcPr/>
          <w:p>
            <w:pPr>
              <w:pStyle w:val="Compact"/>
              <w:jc w:val="left"/>
            </w:pPr>
            <w:r>
              <w:t xml:space="preserve">1</w:t>
            </w:r>
          </w:p>
        </w:tc>
        <w:tc>
          <w:tcPr/>
          <w:p>
            <w:pPr>
              <w:pStyle w:val="Compact"/>
              <w:jc w:val="left"/>
            </w:pPr>
            <w:r>
              <w:t xml:space="preserve">Yutong</w:t>
            </w:r>
          </w:p>
        </w:tc>
        <w:tc>
          <w:tcPr/>
          <w:p>
            <w:pPr>
              <w:pStyle w:val="Compact"/>
              <w:jc w:val="left"/>
            </w:pPr>
            <w:r>
              <w:t xml:space="preserve">China</w:t>
            </w:r>
          </w:p>
        </w:tc>
        <w:tc>
          <w:tcPr/>
          <w:p>
            <w:pPr>
              <w:pStyle w:val="Compact"/>
              <w:jc w:val="right"/>
            </w:pPr>
            <w:r>
              <w:t xml:space="preserve">1,801</w:t>
            </w:r>
          </w:p>
        </w:tc>
        <w:tc>
          <w:tcPr/>
          <w:p>
            <w:pPr>
              <w:pStyle w:val="Compact"/>
              <w:jc w:val="right"/>
            </w:pPr>
            <w:r>
              <w:t xml:space="preserve">15.5%</w:t>
            </w:r>
          </w:p>
        </w:tc>
        <w:tc>
          <w:tcPr/>
          <w:p>
            <w:pPr>
              <w:pStyle w:val="Compact"/>
              <w:jc w:val="right"/>
            </w:pPr>
            <w:r>
              <w:t xml:space="preserve">+65%</w:t>
            </w:r>
          </w:p>
        </w:tc>
      </w:tr>
      <w:tr>
        <w:tc>
          <w:tcPr/>
          <w:p>
            <w:pPr>
              <w:pStyle w:val="Compact"/>
              <w:jc w:val="left"/>
            </w:pPr>
            <w:r>
              <w:t xml:space="preserve">2</w:t>
            </w:r>
          </w:p>
        </w:tc>
        <w:tc>
          <w:tcPr/>
          <w:p>
            <w:pPr>
              <w:pStyle w:val="Compact"/>
              <w:jc w:val="left"/>
            </w:pPr>
            <w:r>
              <w:t xml:space="preserve">MAN</w:t>
            </w:r>
          </w:p>
        </w:tc>
        <w:tc>
          <w:tcPr/>
          <w:p>
            <w:pPr>
              <w:pStyle w:val="Compact"/>
              <w:jc w:val="left"/>
            </w:pPr>
            <w:r>
              <w:t xml:space="preserve">Germany</w:t>
            </w:r>
          </w:p>
        </w:tc>
        <w:tc>
          <w:tcPr/>
          <w:p>
            <w:pPr>
              <w:pStyle w:val="Compact"/>
              <w:jc w:val="right"/>
            </w:pPr>
            <w:r>
              <w:t xml:space="preserve">1,409</w:t>
            </w:r>
          </w:p>
        </w:tc>
        <w:tc>
          <w:tcPr/>
          <w:p>
            <w:pPr>
              <w:pStyle w:val="Compact"/>
              <w:jc w:val="right"/>
            </w:pPr>
            <w:r>
              <w:t xml:space="preserve">12.1%</w:t>
            </w:r>
          </w:p>
        </w:tc>
        <w:tc>
          <w:tcPr/>
          <w:p>
            <w:pPr>
              <w:pStyle w:val="Compact"/>
              <w:jc w:val="right"/>
            </w:pPr>
            <w:r>
              <w:t xml:space="preserve">+224%</w:t>
            </w:r>
          </w:p>
        </w:tc>
      </w:tr>
      <w:tr>
        <w:tc>
          <w:tcPr/>
          <w:p>
            <w:pPr>
              <w:pStyle w:val="Compact"/>
              <w:jc w:val="left"/>
            </w:pPr>
            <w:r>
              <w:t xml:space="preserve">3</w:t>
            </w:r>
          </w:p>
        </w:tc>
        <w:tc>
          <w:tcPr/>
          <w:p>
            <w:pPr>
              <w:pStyle w:val="Compact"/>
              <w:jc w:val="left"/>
            </w:pPr>
            <w:r>
              <w:t xml:space="preserve">Daimler/Mercedes</w:t>
            </w:r>
          </w:p>
        </w:tc>
        <w:tc>
          <w:tcPr/>
          <w:p>
            <w:pPr>
              <w:pStyle w:val="Compact"/>
              <w:jc w:val="left"/>
            </w:pPr>
            <w:r>
              <w:t xml:space="preserve">Germany</w:t>
            </w:r>
          </w:p>
        </w:tc>
        <w:tc>
          <w:tcPr/>
          <w:p>
            <w:pPr>
              <w:pStyle w:val="Compact"/>
              <w:jc w:val="right"/>
            </w:pPr>
            <w:r>
              <w:t xml:space="preserve">1,395</w:t>
            </w:r>
          </w:p>
        </w:tc>
        <w:tc>
          <w:tcPr/>
          <w:p>
            <w:pPr>
              <w:pStyle w:val="Compact"/>
              <w:jc w:val="right"/>
            </w:pPr>
            <w:r>
              <w:t xml:space="preserve">12.0%</w:t>
            </w:r>
          </w:p>
        </w:tc>
        <w:tc>
          <w:tcPr/>
          <w:p>
            <w:pPr>
              <w:pStyle w:val="Compact"/>
              <w:jc w:val="right"/>
            </w:pPr>
            <w:r>
              <w:t xml:space="preserve">+52%</w:t>
            </w:r>
          </w:p>
        </w:tc>
      </w:tr>
      <w:tr>
        <w:tc>
          <w:tcPr/>
          <w:p>
            <w:pPr>
              <w:pStyle w:val="Compact"/>
              <w:jc w:val="left"/>
            </w:pPr>
            <w:r>
              <w:t xml:space="preserve">4</w:t>
            </w:r>
          </w:p>
        </w:tc>
        <w:tc>
          <w:tcPr/>
          <w:p>
            <w:pPr>
              <w:pStyle w:val="Compact"/>
              <w:jc w:val="left"/>
            </w:pPr>
            <w:r>
              <w:t xml:space="preserve">BYD</w:t>
            </w:r>
          </w:p>
        </w:tc>
        <w:tc>
          <w:tcPr/>
          <w:p>
            <w:pPr>
              <w:pStyle w:val="Compact"/>
              <w:jc w:val="left"/>
            </w:pPr>
            <w:r>
              <w:t xml:space="preserve">China</w:t>
            </w:r>
          </w:p>
        </w:tc>
        <w:tc>
          <w:tcPr/>
          <w:p>
            <w:pPr>
              <w:pStyle w:val="Compact"/>
              <w:jc w:val="right"/>
            </w:pPr>
            <w:r>
              <w:t xml:space="preserve">1,305</w:t>
            </w:r>
          </w:p>
        </w:tc>
        <w:tc>
          <w:tcPr/>
          <w:p>
            <w:pPr>
              <w:pStyle w:val="Compact"/>
              <w:jc w:val="right"/>
            </w:pPr>
            <w:r>
              <w:t xml:space="preserve">11.2%</w:t>
            </w:r>
          </w:p>
        </w:tc>
        <w:tc>
          <w:tcPr/>
          <w:p>
            <w:pPr>
              <w:pStyle w:val="Compact"/>
              <w:jc w:val="right"/>
            </w:pPr>
            <w:r>
              <w:t xml:space="preserve">+206%</w:t>
            </w:r>
          </w:p>
        </w:tc>
      </w:tr>
      <w:tr>
        <w:tc>
          <w:tcPr/>
          <w:p>
            <w:pPr>
              <w:pStyle w:val="Compact"/>
              <w:jc w:val="left"/>
            </w:pPr>
            <w:r>
              <w:t xml:space="preserve">5</w:t>
            </w:r>
          </w:p>
        </w:tc>
        <w:tc>
          <w:tcPr/>
          <w:p>
            <w:pPr>
              <w:pStyle w:val="Compact"/>
              <w:jc w:val="left"/>
            </w:pPr>
            <w:r>
              <w:t xml:space="preserve">Iveco Bus</w:t>
            </w:r>
          </w:p>
        </w:tc>
        <w:tc>
          <w:tcPr/>
          <w:p>
            <w:pPr>
              <w:pStyle w:val="Compact"/>
              <w:jc w:val="left"/>
            </w:pPr>
            <w:r>
              <w:t xml:space="preserve">Italy</w:t>
            </w:r>
          </w:p>
        </w:tc>
        <w:tc>
          <w:tcPr/>
          <w:p>
            <w:pPr>
              <w:pStyle w:val="Compact"/>
              <w:jc w:val="right"/>
            </w:pPr>
            <w:r>
              <w:t xml:space="preserve">1,091</w:t>
            </w:r>
          </w:p>
        </w:tc>
        <w:tc>
          <w:tcPr/>
          <w:p>
            <w:pPr>
              <w:pStyle w:val="Compact"/>
              <w:jc w:val="right"/>
            </w:pPr>
            <w:r>
              <w:t xml:space="preserve">9.4%</w:t>
            </w:r>
          </w:p>
        </w:tc>
        <w:tc>
          <w:tcPr/>
          <w:p>
            <w:pPr>
              <w:pStyle w:val="Compact"/>
              <w:jc w:val="right"/>
            </w:pPr>
            <w:r>
              <w:t xml:space="preserve">+33%</w:t>
            </w:r>
          </w:p>
        </w:tc>
      </w:tr>
      <w:tr>
        <w:tc>
          <w:tcPr/>
          <w:p>
            <w:pPr>
              <w:pStyle w:val="Compact"/>
              <w:jc w:val="left"/>
            </w:pPr>
            <w:r>
              <w:t xml:space="preserve">6</w:t>
            </w:r>
          </w:p>
        </w:tc>
        <w:tc>
          <w:tcPr/>
          <w:p>
            <w:pPr>
              <w:pStyle w:val="Compact"/>
              <w:jc w:val="left"/>
            </w:pPr>
            <w:r>
              <w:t xml:space="preserve">Wrightbus</w:t>
            </w:r>
          </w:p>
        </w:tc>
        <w:tc>
          <w:tcPr/>
          <w:p>
            <w:pPr>
              <w:pStyle w:val="Compact"/>
              <w:jc w:val="left"/>
            </w:pPr>
            <w:r>
              <w:t xml:space="preserve">UK</w:t>
            </w:r>
          </w:p>
        </w:tc>
        <w:tc>
          <w:tcPr/>
          <w:p>
            <w:pPr>
              <w:pStyle w:val="Compact"/>
              <w:jc w:val="right"/>
            </w:pPr>
            <w:r>
              <w:t xml:space="preserve">921</w:t>
            </w:r>
          </w:p>
        </w:tc>
        <w:tc>
          <w:tcPr/>
          <w:p>
            <w:pPr>
              <w:pStyle w:val="Compact"/>
              <w:jc w:val="right"/>
            </w:pPr>
            <w:r>
              <w:t xml:space="preserve">7.9%</w:t>
            </w:r>
          </w:p>
        </w:tc>
        <w:tc>
          <w:tcPr/>
          <w:p>
            <w:pPr>
              <w:pStyle w:val="Compact"/>
              <w:jc w:val="right"/>
            </w:pPr>
            <w:r>
              <w:t xml:space="preserve">+7%</w:t>
            </w:r>
          </w:p>
        </w:tc>
      </w:tr>
      <w:tr>
        <w:tc>
          <w:tcPr/>
          <w:p>
            <w:pPr>
              <w:pStyle w:val="Compact"/>
              <w:jc w:val="left"/>
            </w:pPr>
            <w:r>
              <w:t xml:space="preserve">7</w:t>
            </w:r>
          </w:p>
        </w:tc>
        <w:tc>
          <w:tcPr/>
          <w:p>
            <w:pPr>
              <w:pStyle w:val="Compact"/>
              <w:jc w:val="left"/>
            </w:pPr>
            <w:r>
              <w:t xml:space="preserve">Solaris</w:t>
            </w:r>
          </w:p>
        </w:tc>
        <w:tc>
          <w:tcPr/>
          <w:p>
            <w:pPr>
              <w:pStyle w:val="Compact"/>
              <w:jc w:val="left"/>
            </w:pPr>
            <w:r>
              <w:t xml:space="preserve">Poland</w:t>
            </w:r>
          </w:p>
        </w:tc>
        <w:tc>
          <w:tcPr/>
          <w:p>
            <w:pPr>
              <w:pStyle w:val="Compact"/>
              <w:jc w:val="right"/>
            </w:pPr>
            <w:r>
              <w:t xml:space="preserve">882</w:t>
            </w:r>
          </w:p>
        </w:tc>
        <w:tc>
          <w:tcPr/>
          <w:p>
            <w:pPr>
              <w:pStyle w:val="Compact"/>
              <w:jc w:val="right"/>
            </w:pPr>
            <w:r>
              <w:t xml:space="preserve">7.6%</w:t>
            </w:r>
          </w:p>
        </w:tc>
        <w:tc>
          <w:tcPr/>
          <w:p>
            <w:pPr>
              <w:pStyle w:val="Compact"/>
              <w:jc w:val="right"/>
            </w:pPr>
            <w:r>
              <w:t xml:space="preserve">+92%</w:t>
            </w:r>
          </w:p>
        </w:tc>
      </w:tr>
      <w:tr>
        <w:tc>
          <w:tcPr/>
          <w:p>
            <w:pPr>
              <w:pStyle w:val="Compact"/>
              <w:jc w:val="left"/>
            </w:pPr>
            <w:r>
              <w:t xml:space="preserve">8</w:t>
            </w:r>
          </w:p>
        </w:tc>
        <w:tc>
          <w:tcPr/>
          <w:p>
            <w:pPr>
              <w:pStyle w:val="Compact"/>
              <w:jc w:val="left"/>
            </w:pPr>
            <w:r>
              <w:t xml:space="preserve">Volvo Buses</w:t>
            </w:r>
          </w:p>
        </w:tc>
        <w:tc>
          <w:tcPr/>
          <w:p>
            <w:pPr>
              <w:pStyle w:val="Compact"/>
              <w:jc w:val="left"/>
            </w:pPr>
            <w:r>
              <w:t xml:space="preserve">Sweden</w:t>
            </w:r>
          </w:p>
        </w:tc>
        <w:tc>
          <w:tcPr/>
          <w:p>
            <w:pPr>
              <w:pStyle w:val="Compact"/>
              <w:jc w:val="right"/>
            </w:pPr>
            <w:r>
              <w:t xml:space="preserve">364</w:t>
            </w:r>
          </w:p>
        </w:tc>
        <w:tc>
          <w:tcPr/>
          <w:p>
            <w:pPr>
              <w:pStyle w:val="Compact"/>
              <w:jc w:val="right"/>
            </w:pPr>
            <w:r>
              <w:t xml:space="preserve">3.1%</w:t>
            </w:r>
          </w:p>
        </w:tc>
        <w:tc>
          <w:tcPr/>
          <w:p>
            <w:pPr>
              <w:pStyle w:val="Compact"/>
              <w:jc w:val="right"/>
            </w:pPr>
            <w:r>
              <w:t xml:space="preserve">—</w:t>
            </w:r>
          </w:p>
        </w:tc>
      </w:tr>
      <w:tr>
        <w:tc>
          <w:tcPr/>
          <w:p>
            <w:pPr>
              <w:pStyle w:val="Compact"/>
              <w:jc w:val="left"/>
            </w:pPr>
            <w:r>
              <w:t xml:space="preserve">9</w:t>
            </w:r>
          </w:p>
        </w:tc>
        <w:tc>
          <w:tcPr/>
          <w:p>
            <w:pPr>
              <w:pStyle w:val="Compact"/>
              <w:jc w:val="left"/>
            </w:pPr>
            <w:r>
              <w:t xml:space="preserve">VDL</w:t>
            </w:r>
          </w:p>
        </w:tc>
        <w:tc>
          <w:tcPr/>
          <w:p>
            <w:pPr>
              <w:pStyle w:val="Compact"/>
              <w:jc w:val="left"/>
            </w:pPr>
            <w:r>
              <w:t xml:space="preserve">Netherlands</w:t>
            </w:r>
          </w:p>
        </w:tc>
        <w:tc>
          <w:tcPr/>
          <w:p>
            <w:pPr>
              <w:pStyle w:val="Compact"/>
              <w:jc w:val="right"/>
            </w:pPr>
            <w:r>
              <w:t xml:space="preserve">353</w:t>
            </w:r>
          </w:p>
        </w:tc>
        <w:tc>
          <w:tcPr/>
          <w:p>
            <w:pPr>
              <w:pStyle w:val="Compact"/>
              <w:jc w:val="right"/>
            </w:pPr>
            <w:r>
              <w:t xml:space="preserve">3.0%</w:t>
            </w:r>
          </w:p>
        </w:tc>
        <w:tc>
          <w:tcPr/>
          <w:p>
            <w:pPr>
              <w:pStyle w:val="Compact"/>
              <w:jc w:val="right"/>
            </w:pPr>
            <w:r>
              <w:t xml:space="preserve">-12%</w:t>
            </w:r>
          </w:p>
        </w:tc>
      </w:tr>
    </w:tbl>
    <w:p>
      <w:pPr>
        <w:pStyle w:val="BodyText"/>
      </w:pPr>
      <w:r>
        <w:rPr>
          <w:i/>
          <w:iCs/>
        </w:rPr>
        <w:t xml:space="preserve">Source: Sustainable Bus</w:t>
      </w:r>
      <w:r>
        <w:rPr>
          <w:i/>
          <w:iCs/>
        </w:rPr>
        <w:t xml:space="preserve"> </w:t>
      </w:r>
      <w:r>
        <w:rPr>
          <w:i/>
          <w:iCs/>
        </w:rPr>
        <w:t xml:space="preserve">(Sustainable Bus, 2026a)</w:t>
      </w:r>
    </w:p>
    <w:p>
      <w:pPr>
        <w:pStyle w:val="BodyText"/>
      </w:pPr>
      <w:r>
        <w:t xml:space="preserve">Chinese manufacturers (Yutong + BYD) collectively hold</w:t>
      </w:r>
      <w:r>
        <w:t xml:space="preserve"> </w:t>
      </w:r>
      <w:r>
        <w:rPr>
          <w:b/>
          <w:bCs/>
        </w:rPr>
        <w:t xml:space="preserve">~27% of the European market</w:t>
      </w:r>
      <w:r>
        <w:t xml:space="preserve"> </w:t>
      </w:r>
      <w:r>
        <w:t xml:space="preserve">and are growing rapidly. However, European OEMs still hold the majority collectively. The top four manufacturers (Yutong, MAN, Daimler, BYD) control roughly 50% of the market between them.</w:t>
      </w:r>
    </w:p>
    <w:p>
      <w:pPr>
        <w:pStyle w:val="BodyText"/>
      </w:pPr>
      <w:r>
        <w:t xml:space="preserve">For comparison, in 2024 the European rankings were</w:t>
      </w:r>
      <w:r>
        <w:t xml:space="preserve"> </w:t>
      </w:r>
      <w:r>
        <w:t xml:space="preserve">(Sustainable Bus, 2025a)</w:t>
      </w:r>
      <w:r>
        <w:t xml:space="preserve">:</w:t>
      </w:r>
    </w:p>
    <w:p>
      <w:pPr>
        <w:pStyle w:val="BodyText"/>
      </w:pPr>
      <w:r>
        <w:rPr>
          <w:b/>
          <w:bCs/>
        </w:rPr>
        <w:t xml:space="preserve">European Electric Bus Registrations by Manufacturer (2024)</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Rank</w:t>
            </w:r>
          </w:p>
        </w:tc>
        <w:tc>
          <w:tcPr/>
          <w:p>
            <w:pPr>
              <w:pStyle w:val="Compact"/>
              <w:jc w:val="left"/>
            </w:pPr>
            <w:r>
              <w:t xml:space="preserve">Manufacturer</w:t>
            </w:r>
          </w:p>
        </w:tc>
        <w:tc>
          <w:tcPr/>
          <w:p>
            <w:pPr>
              <w:pStyle w:val="Compact"/>
              <w:jc w:val="right"/>
            </w:pPr>
            <w:r>
              <w:t xml:space="preserve">Units</w:t>
            </w:r>
          </w:p>
        </w:tc>
        <w:tc>
          <w:tcPr/>
          <w:p>
            <w:pPr>
              <w:pStyle w:val="Compact"/>
              <w:jc w:val="right"/>
            </w:pPr>
            <w:r>
              <w:t xml:space="preserve">Share</w:t>
            </w:r>
          </w:p>
        </w:tc>
      </w:tr>
      <w:tr>
        <w:tc>
          <w:tcPr/>
          <w:p>
            <w:pPr>
              <w:pStyle w:val="Compact"/>
              <w:jc w:val="left"/>
            </w:pPr>
            <w:r>
              <w:t xml:space="preserve">1</w:t>
            </w:r>
          </w:p>
        </w:tc>
        <w:tc>
          <w:tcPr/>
          <w:p>
            <w:pPr>
              <w:pStyle w:val="Compact"/>
              <w:jc w:val="left"/>
            </w:pPr>
            <w:r>
              <w:t xml:space="preserve">Yutong</w:t>
            </w:r>
          </w:p>
        </w:tc>
        <w:tc>
          <w:tcPr/>
          <w:p>
            <w:pPr>
              <w:pStyle w:val="Compact"/>
              <w:jc w:val="right"/>
            </w:pPr>
            <w:r>
              <w:t xml:space="preserve">1,092</w:t>
            </w:r>
          </w:p>
        </w:tc>
        <w:tc>
          <w:tcPr/>
          <w:p>
            <w:pPr>
              <w:pStyle w:val="Compact"/>
              <w:jc w:val="right"/>
            </w:pPr>
            <w:r>
              <w:t xml:space="preserve">14.0%</w:t>
            </w:r>
          </w:p>
        </w:tc>
      </w:tr>
      <w:tr>
        <w:tc>
          <w:tcPr/>
          <w:p>
            <w:pPr>
              <w:pStyle w:val="Compact"/>
              <w:jc w:val="left"/>
            </w:pPr>
            <w:r>
              <w:t xml:space="preserve">2</w:t>
            </w:r>
          </w:p>
        </w:tc>
        <w:tc>
          <w:tcPr/>
          <w:p>
            <w:pPr>
              <w:pStyle w:val="Compact"/>
              <w:jc w:val="left"/>
            </w:pPr>
            <w:r>
              <w:t xml:space="preserve">Daimler/Mercedes</w:t>
            </w:r>
          </w:p>
        </w:tc>
        <w:tc>
          <w:tcPr/>
          <w:p>
            <w:pPr>
              <w:pStyle w:val="Compact"/>
              <w:jc w:val="right"/>
            </w:pPr>
            <w:r>
              <w:t xml:space="preserve">918</w:t>
            </w:r>
          </w:p>
        </w:tc>
        <w:tc>
          <w:tcPr/>
          <w:p>
            <w:pPr>
              <w:pStyle w:val="Compact"/>
              <w:jc w:val="right"/>
            </w:pPr>
            <w:r>
              <w:t xml:space="preserve">11.8%</w:t>
            </w:r>
          </w:p>
        </w:tc>
      </w:tr>
      <w:tr>
        <w:tc>
          <w:tcPr/>
          <w:p>
            <w:pPr>
              <w:pStyle w:val="Compact"/>
              <w:jc w:val="left"/>
            </w:pPr>
            <w:r>
              <w:t xml:space="preserve">3</w:t>
            </w:r>
          </w:p>
        </w:tc>
        <w:tc>
          <w:tcPr/>
          <w:p>
            <w:pPr>
              <w:pStyle w:val="Compact"/>
              <w:jc w:val="left"/>
            </w:pPr>
            <w:r>
              <w:t xml:space="preserve">Wrightbus</w:t>
            </w:r>
          </w:p>
        </w:tc>
        <w:tc>
          <w:tcPr/>
          <w:p>
            <w:pPr>
              <w:pStyle w:val="Compact"/>
              <w:jc w:val="right"/>
            </w:pPr>
            <w:r>
              <w:t xml:space="preserve">861</w:t>
            </w:r>
          </w:p>
        </w:tc>
        <w:tc>
          <w:tcPr/>
          <w:p>
            <w:pPr>
              <w:pStyle w:val="Compact"/>
              <w:jc w:val="right"/>
            </w:pPr>
            <w:r>
              <w:t xml:space="preserve">11.1%</w:t>
            </w:r>
          </w:p>
        </w:tc>
      </w:tr>
      <w:tr>
        <w:tc>
          <w:tcPr/>
          <w:p>
            <w:pPr>
              <w:pStyle w:val="Compact"/>
              <w:jc w:val="left"/>
            </w:pPr>
            <w:r>
              <w:t xml:space="preserve">4</w:t>
            </w:r>
          </w:p>
        </w:tc>
        <w:tc>
          <w:tcPr/>
          <w:p>
            <w:pPr>
              <w:pStyle w:val="Compact"/>
              <w:jc w:val="left"/>
            </w:pPr>
            <w:r>
              <w:t xml:space="preserve">Iveco Bus</w:t>
            </w:r>
          </w:p>
        </w:tc>
        <w:tc>
          <w:tcPr/>
          <w:p>
            <w:pPr>
              <w:pStyle w:val="Compact"/>
              <w:jc w:val="right"/>
            </w:pPr>
            <w:r>
              <w:t xml:space="preserve">821</w:t>
            </w:r>
          </w:p>
        </w:tc>
        <w:tc>
          <w:tcPr/>
          <w:p>
            <w:pPr>
              <w:pStyle w:val="Compact"/>
              <w:jc w:val="right"/>
            </w:pPr>
            <w:r>
              <w:t xml:space="preserve">10.6%</w:t>
            </w:r>
          </w:p>
        </w:tc>
      </w:tr>
      <w:tr>
        <w:tc>
          <w:tcPr/>
          <w:p>
            <w:pPr>
              <w:pStyle w:val="Compact"/>
              <w:jc w:val="left"/>
            </w:pPr>
            <w:r>
              <w:t xml:space="preserve">5</w:t>
            </w:r>
          </w:p>
        </w:tc>
        <w:tc>
          <w:tcPr/>
          <w:p>
            <w:pPr>
              <w:pStyle w:val="Compact"/>
              <w:jc w:val="left"/>
            </w:pPr>
            <w:r>
              <w:t xml:space="preserve">Solaris</w:t>
            </w:r>
          </w:p>
        </w:tc>
        <w:tc>
          <w:tcPr/>
          <w:p>
            <w:pPr>
              <w:pStyle w:val="Compact"/>
              <w:jc w:val="right"/>
            </w:pPr>
            <w:r>
              <w:t xml:space="preserve">460</w:t>
            </w:r>
          </w:p>
        </w:tc>
        <w:tc>
          <w:tcPr/>
          <w:p>
            <w:pPr>
              <w:pStyle w:val="Compact"/>
              <w:jc w:val="right"/>
            </w:pPr>
            <w:r>
              <w:t xml:space="preserve">5.9%</w:t>
            </w:r>
          </w:p>
        </w:tc>
      </w:tr>
      <w:tr>
        <w:tc>
          <w:tcPr/>
          <w:p>
            <w:pPr>
              <w:pStyle w:val="Compact"/>
              <w:jc w:val="left"/>
            </w:pPr>
            <w:r>
              <w:t xml:space="preserve">6</w:t>
            </w:r>
          </w:p>
        </w:tc>
        <w:tc>
          <w:tcPr/>
          <w:p>
            <w:pPr>
              <w:pStyle w:val="Compact"/>
              <w:jc w:val="left"/>
            </w:pPr>
            <w:r>
              <w:t xml:space="preserve">MAN</w:t>
            </w:r>
          </w:p>
        </w:tc>
        <w:tc>
          <w:tcPr/>
          <w:p>
            <w:pPr>
              <w:pStyle w:val="Compact"/>
              <w:jc w:val="right"/>
            </w:pPr>
            <w:r>
              <w:t xml:space="preserve">435</w:t>
            </w:r>
          </w:p>
        </w:tc>
        <w:tc>
          <w:tcPr/>
          <w:p>
            <w:pPr>
              <w:pStyle w:val="Compact"/>
              <w:jc w:val="right"/>
            </w:pPr>
            <w:r>
              <w:t xml:space="preserve">5.6%</w:t>
            </w:r>
          </w:p>
        </w:tc>
      </w:tr>
      <w:tr>
        <w:tc>
          <w:tcPr/>
          <w:p>
            <w:pPr>
              <w:pStyle w:val="Compact"/>
              <w:jc w:val="left"/>
            </w:pPr>
            <w:r>
              <w:t xml:space="preserve">7</w:t>
            </w:r>
          </w:p>
        </w:tc>
        <w:tc>
          <w:tcPr/>
          <w:p>
            <w:pPr>
              <w:pStyle w:val="Compact"/>
              <w:jc w:val="left"/>
            </w:pPr>
            <w:r>
              <w:t xml:space="preserve">BYD</w:t>
            </w:r>
          </w:p>
        </w:tc>
        <w:tc>
          <w:tcPr/>
          <w:p>
            <w:pPr>
              <w:pStyle w:val="Compact"/>
              <w:jc w:val="right"/>
            </w:pPr>
            <w:r>
              <w:t xml:space="preserve">426</w:t>
            </w:r>
          </w:p>
        </w:tc>
        <w:tc>
          <w:tcPr/>
          <w:p>
            <w:pPr>
              <w:pStyle w:val="Compact"/>
              <w:jc w:val="right"/>
            </w:pPr>
            <w:r>
              <w:t xml:space="preserve">5.5%</w:t>
            </w:r>
          </w:p>
        </w:tc>
      </w:tr>
      <w:tr>
        <w:tc>
          <w:tcPr/>
          <w:p>
            <w:pPr>
              <w:pStyle w:val="Compact"/>
              <w:jc w:val="left"/>
            </w:pPr>
            <w:r>
              <w:t xml:space="preserve">8</w:t>
            </w:r>
          </w:p>
        </w:tc>
        <w:tc>
          <w:tcPr/>
          <w:p>
            <w:pPr>
              <w:pStyle w:val="Compact"/>
              <w:jc w:val="left"/>
            </w:pPr>
            <w:r>
              <w:t xml:space="preserve">VDL</w:t>
            </w:r>
          </w:p>
        </w:tc>
        <w:tc>
          <w:tcPr/>
          <w:p>
            <w:pPr>
              <w:pStyle w:val="Compact"/>
              <w:jc w:val="right"/>
            </w:pPr>
            <w:r>
              <w:t xml:space="preserve">401</w:t>
            </w:r>
          </w:p>
        </w:tc>
        <w:tc>
          <w:tcPr/>
          <w:p>
            <w:pPr>
              <w:pStyle w:val="Compact"/>
              <w:jc w:val="right"/>
            </w:pPr>
            <w:r>
              <w:t xml:space="preserve">5.2%</w:t>
            </w:r>
          </w:p>
        </w:tc>
      </w:tr>
    </w:tbl>
    <w:p>
      <w:pPr>
        <w:pStyle w:val="BodyText"/>
      </w:pPr>
      <w:r>
        <w:rPr>
          <w:i/>
          <w:iCs/>
        </w:rPr>
        <w:t xml:space="preserve">Source: Sustainable Bus</w:t>
      </w:r>
      <w:r>
        <w:rPr>
          <w:i/>
          <w:iCs/>
        </w:rPr>
        <w:t xml:space="preserve"> </w:t>
      </w:r>
      <w:r>
        <w:rPr>
          <w:i/>
          <w:iCs/>
        </w:rPr>
        <w:t xml:space="preserve">(Sustainable Bus, 2025a)</w:t>
      </w:r>
    </w:p>
    <w:p>
      <w:pPr>
        <w:pStyle w:val="BodyText"/>
      </w:pPr>
      <w:r>
        <w:t xml:space="preserve">MAN’s jump from 435 units (#6) in 2024 to 1,409 (#2) in 2025 — a 224% increase — is notable, as is BYD’s tripling from 426 to 1,305.</w:t>
      </w:r>
    </w:p>
    <w:p>
      <w:r>
        <w:pict>
          <v:rect style="width:0;height:1.5pt" o:hralign="center" o:hrstd="t" o:hr="t"/>
        </w:pict>
      </w:r>
    </w:p>
    <w:bookmarkEnd w:id="30"/>
    <w:bookmarkEnd w:id="31"/>
    <w:bookmarkStart w:id="35" w:name="battery-technology-evolution"/>
    <w:p>
      <w:pPr>
        <w:pStyle w:val="Heading1"/>
      </w:pPr>
      <w:r>
        <w:t xml:space="preserve">Battery Technology Evolution</w:t>
      </w:r>
    </w:p>
    <w:bookmarkStart w:id="32" w:name="battery-capacity-progression"/>
    <w:p>
      <w:pPr>
        <w:pStyle w:val="Heading2"/>
      </w:pPr>
      <w:r>
        <w:t xml:space="preserve">Battery capacity progression</w:t>
      </w:r>
    </w:p>
    <w:p>
      <w:pPr>
        <w:pStyle w:val="FirstParagraph"/>
      </w:pPr>
      <w:r>
        <w:t xml:space="preserve">Battery capacity for standard 12-metre electric buses has grown substantially over the past 15 years. The table below tracks concrete specifications from major manufacturers.</w:t>
      </w:r>
    </w:p>
    <w:p>
      <w:pPr>
        <w:pStyle w:val="BodyText"/>
      </w:pPr>
      <w:r>
        <w:rPr>
          <w:b/>
          <w:bCs/>
        </w:rPr>
        <w:t xml:space="preserve">12m Electric Bus Battery Capacity by Model and Year</w:t>
      </w:r>
    </w:p>
    <w:tbl>
      <w:tblPr>
        <w:tblStyle w:val="Table"/>
        <w:tblW w:type="pct" w:w="5000"/>
        <w:tblLayout w:type="fixed"/>
        <w:tblLook w:firstRow="1" w:lastRow="0" w:firstColumn="0" w:lastColumn="0" w:noHBand="0" w:noVBand="0" w:val="0020"/>
      </w:tblPr>
      <w:tblGrid>
        <w:gridCol w:w="779"/>
        <w:gridCol w:w="2856"/>
        <w:gridCol w:w="1947"/>
        <w:gridCol w:w="908"/>
        <w:gridCol w:w="1428"/>
      </w:tblGrid>
      <w:tr>
        <w:trPr>
          <w:tblHeader w:val="on"/>
        </w:trPr>
        <w:tc>
          <w:tcPr/>
          <w:p>
            <w:pPr>
              <w:pStyle w:val="Compact"/>
              <w:jc w:val="left"/>
            </w:pPr>
            <w:r>
              <w:t xml:space="preserve">Year</w:t>
            </w:r>
          </w:p>
        </w:tc>
        <w:tc>
          <w:tcPr/>
          <w:p>
            <w:pPr>
              <w:pStyle w:val="Compact"/>
              <w:jc w:val="left"/>
            </w:pPr>
            <w:r>
              <w:t xml:space="preserve">Manufacturer / Model</w:t>
            </w:r>
          </w:p>
        </w:tc>
        <w:tc>
          <w:tcPr/>
          <w:p>
            <w:pPr>
              <w:pStyle w:val="Compact"/>
              <w:jc w:val="left"/>
            </w:pPr>
            <w:r>
              <w:t xml:space="preserve">Battery (kWh)</w:t>
            </w:r>
          </w:p>
        </w:tc>
        <w:tc>
          <w:tcPr/>
          <w:p>
            <w:pPr>
              <w:pStyle w:val="Compact"/>
              <w:jc w:val="left"/>
            </w:pPr>
            <w:r>
              <w:t xml:space="preserve">Range</w:t>
            </w:r>
          </w:p>
        </w:tc>
        <w:tc>
          <w:tcPr/>
          <w:p>
            <w:pPr>
              <w:pStyle w:val="Compact"/>
              <w:jc w:val="left"/>
            </w:pPr>
            <w:r>
              <w:t xml:space="preserve">Chemistry</w:t>
            </w:r>
          </w:p>
        </w:tc>
      </w:tr>
      <w:tr>
        <w:tc>
          <w:tcPr/>
          <w:p>
            <w:pPr>
              <w:pStyle w:val="Compact"/>
              <w:jc w:val="left"/>
            </w:pPr>
            <w:r>
              <w:t xml:space="preserve">2010</w:t>
            </w:r>
          </w:p>
        </w:tc>
        <w:tc>
          <w:tcPr/>
          <w:p>
            <w:pPr>
              <w:pStyle w:val="Compact"/>
              <w:jc w:val="left"/>
            </w:pPr>
            <w:r>
              <w:t xml:space="preserve">BYD K9 (1st gen)</w:t>
            </w:r>
          </w:p>
        </w:tc>
        <w:tc>
          <w:tcPr/>
          <w:p>
            <w:pPr>
              <w:pStyle w:val="Compact"/>
              <w:jc w:val="left"/>
            </w:pPr>
            <w:r>
              <w:t xml:space="preserve">342</w:t>
            </w:r>
          </w:p>
        </w:tc>
        <w:tc>
          <w:tcPr/>
          <w:p>
            <w:pPr>
              <w:pStyle w:val="Compact"/>
              <w:jc w:val="left"/>
            </w:pPr>
            <w:r>
              <w:t xml:space="preserve">250 km</w:t>
            </w:r>
          </w:p>
        </w:tc>
        <w:tc>
          <w:tcPr/>
          <w:p>
            <w:pPr>
              <w:pStyle w:val="Compact"/>
              <w:jc w:val="left"/>
            </w:pPr>
            <w:r>
              <w:t xml:space="preserve">LFP</w:t>
            </w:r>
          </w:p>
        </w:tc>
      </w:tr>
      <w:tr>
        <w:tc>
          <w:tcPr/>
          <w:p>
            <w:pPr>
              <w:pStyle w:val="Compact"/>
              <w:jc w:val="left"/>
            </w:pPr>
            <w:r>
              <w:t xml:space="preserve">2012</w:t>
            </w:r>
          </w:p>
        </w:tc>
        <w:tc>
          <w:tcPr/>
          <w:p>
            <w:pPr>
              <w:pStyle w:val="Compact"/>
              <w:jc w:val="left"/>
            </w:pPr>
            <w:r>
              <w:t xml:space="preserve">Proterra EcoRide BE35</w:t>
            </w:r>
          </w:p>
        </w:tc>
        <w:tc>
          <w:tcPr/>
          <w:p>
            <w:pPr>
              <w:pStyle w:val="Compact"/>
              <w:jc w:val="left"/>
            </w:pPr>
            <w:r>
              <w:t xml:space="preserve">~54</w:t>
            </w:r>
          </w:p>
        </w:tc>
        <w:tc>
          <w:tcPr/>
          <w:p>
            <w:pPr>
              <w:pStyle w:val="Compact"/>
              <w:jc w:val="left"/>
            </w:pPr>
            <w:r>
              <w:t xml:space="preserve">~50 km</w:t>
            </w:r>
          </w:p>
        </w:tc>
        <w:tc>
          <w:tcPr/>
          <w:p>
            <w:pPr>
              <w:pStyle w:val="Compact"/>
              <w:jc w:val="left"/>
            </w:pPr>
            <w:r>
              <w:t xml:space="preserve">LTO</w:t>
            </w:r>
          </w:p>
        </w:tc>
      </w:tr>
      <w:tr>
        <w:tc>
          <w:tcPr/>
          <w:p>
            <w:pPr>
              <w:pStyle w:val="Compact"/>
              <w:jc w:val="left"/>
            </w:pPr>
            <w:r>
              <w:t xml:space="preserve">2015</w:t>
            </w:r>
          </w:p>
        </w:tc>
        <w:tc>
          <w:tcPr/>
          <w:p>
            <w:pPr>
              <w:pStyle w:val="Compact"/>
              <w:jc w:val="left"/>
            </w:pPr>
            <w:r>
              <w:t xml:space="preserve">Proterra Catalyst XR</w:t>
            </w:r>
          </w:p>
        </w:tc>
        <w:tc>
          <w:tcPr/>
          <w:p>
            <w:pPr>
              <w:pStyle w:val="Compact"/>
              <w:jc w:val="left"/>
            </w:pPr>
            <w:r>
              <w:t xml:space="preserve">257</w:t>
            </w:r>
          </w:p>
        </w:tc>
        <w:tc>
          <w:tcPr/>
          <w:p>
            <w:pPr>
              <w:pStyle w:val="Compact"/>
              <w:jc w:val="left"/>
            </w:pPr>
            <w:r>
              <w:t xml:space="preserve">290 km</w:t>
            </w:r>
          </w:p>
        </w:tc>
        <w:tc>
          <w:tcPr/>
          <w:p>
            <w:pPr>
              <w:pStyle w:val="Compact"/>
              <w:jc w:val="left"/>
            </w:pPr>
            <w:r>
              <w:t xml:space="preserve">NMC</w:t>
            </w:r>
          </w:p>
        </w:tc>
      </w:tr>
      <w:tr>
        <w:tc>
          <w:tcPr/>
          <w:p>
            <w:pPr>
              <w:pStyle w:val="Compact"/>
              <w:jc w:val="left"/>
            </w:pPr>
            <w:r>
              <w:t xml:space="preserve">2016</w:t>
            </w:r>
          </w:p>
        </w:tc>
        <w:tc>
          <w:tcPr/>
          <w:p>
            <w:pPr>
              <w:pStyle w:val="Compact"/>
              <w:jc w:val="left"/>
            </w:pPr>
            <w:r>
              <w:t xml:space="preserve">Proterra Catalyst XR (upgraded)</w:t>
            </w:r>
          </w:p>
        </w:tc>
        <w:tc>
          <w:tcPr/>
          <w:p>
            <w:pPr>
              <w:pStyle w:val="Compact"/>
              <w:jc w:val="left"/>
            </w:pPr>
            <w:r>
              <w:t xml:space="preserve">330</w:t>
            </w:r>
          </w:p>
        </w:tc>
        <w:tc>
          <w:tcPr/>
          <w:p>
            <w:pPr>
              <w:pStyle w:val="Compact"/>
              <w:jc w:val="left"/>
            </w:pPr>
            <w:r>
              <w:t xml:space="preserve">310 km</w:t>
            </w:r>
          </w:p>
        </w:tc>
        <w:tc>
          <w:tcPr/>
          <w:p>
            <w:pPr>
              <w:pStyle w:val="Compact"/>
              <w:jc w:val="left"/>
            </w:pPr>
            <w:r>
              <w:t xml:space="preserve">NMC</w:t>
            </w:r>
          </w:p>
        </w:tc>
      </w:tr>
      <w:tr>
        <w:tc>
          <w:tcPr/>
          <w:p>
            <w:pPr>
              <w:pStyle w:val="Compact"/>
              <w:jc w:val="left"/>
            </w:pPr>
            <w:r>
              <w:t xml:space="preserve">2016</w:t>
            </w:r>
          </w:p>
        </w:tc>
        <w:tc>
          <w:tcPr/>
          <w:p>
            <w:pPr>
              <w:pStyle w:val="Compact"/>
              <w:jc w:val="left"/>
            </w:pPr>
            <w:r>
              <w:t xml:space="preserve">Proterra Catalyst E2</w:t>
            </w:r>
          </w:p>
        </w:tc>
        <w:tc>
          <w:tcPr/>
          <w:p>
            <w:pPr>
              <w:pStyle w:val="Compact"/>
              <w:jc w:val="left"/>
            </w:pPr>
            <w:r>
              <w:t xml:space="preserve">440–660</w:t>
            </w:r>
          </w:p>
        </w:tc>
        <w:tc>
          <w:tcPr/>
          <w:p>
            <w:pPr>
              <w:pStyle w:val="Compact"/>
              <w:jc w:val="left"/>
            </w:pPr>
            <w:r>
              <w:t xml:space="preserve">310–560 km</w:t>
            </w:r>
          </w:p>
        </w:tc>
        <w:tc>
          <w:tcPr/>
          <w:p>
            <w:pPr>
              <w:pStyle w:val="Compact"/>
              <w:jc w:val="left"/>
            </w:pPr>
            <w:r>
              <w:t xml:space="preserve">NMC</w:t>
            </w:r>
          </w:p>
        </w:tc>
      </w:tr>
      <w:tr>
        <w:tc>
          <w:tcPr/>
          <w:p>
            <w:pPr>
              <w:pStyle w:val="Compact"/>
              <w:jc w:val="left"/>
            </w:pPr>
            <w:r>
              <w:t xml:space="preserve">2022</w:t>
            </w:r>
          </w:p>
        </w:tc>
        <w:tc>
          <w:tcPr/>
          <w:p>
            <w:pPr>
              <w:pStyle w:val="Compact"/>
              <w:jc w:val="left"/>
            </w:pPr>
            <w:r>
              <w:t xml:space="preserve">Proterra ZX5 Max</w:t>
            </w:r>
          </w:p>
        </w:tc>
        <w:tc>
          <w:tcPr/>
          <w:p>
            <w:pPr>
              <w:pStyle w:val="Compact"/>
              <w:jc w:val="left"/>
            </w:pPr>
            <w:r>
              <w:t xml:space="preserve">738</w:t>
            </w:r>
          </w:p>
        </w:tc>
        <w:tc>
          <w:tcPr/>
          <w:p>
            <w:pPr>
              <w:pStyle w:val="Compact"/>
              <w:jc w:val="left"/>
            </w:pPr>
            <w:r>
              <w:t xml:space="preserve">480+ km</w:t>
            </w:r>
          </w:p>
        </w:tc>
        <w:tc>
          <w:tcPr/>
          <w:p>
            <w:pPr>
              <w:pStyle w:val="Compact"/>
              <w:jc w:val="left"/>
            </w:pPr>
            <w:r>
              <w:t xml:space="preserve">NMC</w:t>
            </w:r>
          </w:p>
        </w:tc>
      </w:tr>
      <w:tr>
        <w:tc>
          <w:tcPr/>
          <w:p>
            <w:pPr>
              <w:pStyle w:val="Compact"/>
              <w:jc w:val="left"/>
            </w:pPr>
            <w:r>
              <w:t xml:space="preserve">Pre-2024</w:t>
            </w:r>
          </w:p>
        </w:tc>
        <w:tc>
          <w:tcPr/>
          <w:p>
            <w:pPr>
              <w:pStyle w:val="Compact"/>
              <w:jc w:val="left"/>
            </w:pPr>
            <w:r>
              <w:t xml:space="preserve">Yutong E12</w:t>
            </w:r>
          </w:p>
        </w:tc>
        <w:tc>
          <w:tcPr/>
          <w:p>
            <w:pPr>
              <w:pStyle w:val="Compact"/>
              <w:jc w:val="left"/>
            </w:pPr>
            <w:r>
              <w:t xml:space="preserve">344</w:t>
            </w:r>
          </w:p>
        </w:tc>
        <w:tc>
          <w:tcPr/>
          <w:p>
            <w:pPr>
              <w:pStyle w:val="Compact"/>
              <w:jc w:val="left"/>
            </w:pPr>
            <w:r>
              <w:t xml:space="preserve">350 km</w:t>
            </w:r>
          </w:p>
        </w:tc>
        <w:tc>
          <w:tcPr/>
          <w:p>
            <w:pPr>
              <w:pStyle w:val="Compact"/>
              <w:jc w:val="left"/>
            </w:pPr>
            <w:r>
              <w:t xml:space="preserve">LFP</w:t>
            </w:r>
          </w:p>
        </w:tc>
      </w:tr>
      <w:tr>
        <w:tc>
          <w:tcPr/>
          <w:p>
            <w:pPr>
              <w:pStyle w:val="Compact"/>
              <w:jc w:val="left"/>
            </w:pPr>
            <w:r>
              <w:t xml:space="preserve">2024+</w:t>
            </w:r>
          </w:p>
        </w:tc>
        <w:tc>
          <w:tcPr/>
          <w:p>
            <w:pPr>
              <w:pStyle w:val="Compact"/>
              <w:jc w:val="left"/>
            </w:pPr>
            <w:r>
              <w:t xml:space="preserve">Yutong E12 (upgraded)</w:t>
            </w:r>
          </w:p>
        </w:tc>
        <w:tc>
          <w:tcPr/>
          <w:p>
            <w:pPr>
              <w:pStyle w:val="Compact"/>
              <w:jc w:val="left"/>
            </w:pPr>
            <w:r>
              <w:t xml:space="preserve">466</w:t>
            </w:r>
          </w:p>
        </w:tc>
        <w:tc>
          <w:tcPr/>
          <w:p>
            <w:pPr>
              <w:pStyle w:val="Compact"/>
              <w:jc w:val="left"/>
            </w:pPr>
            <w:r>
              <w:t xml:space="preserve">370 km</w:t>
            </w:r>
          </w:p>
        </w:tc>
        <w:tc>
          <w:tcPr/>
          <w:p>
            <w:pPr>
              <w:pStyle w:val="Compact"/>
              <w:jc w:val="left"/>
            </w:pPr>
            <w:r>
              <w:t xml:space="preserve">LFP</w:t>
            </w:r>
          </w:p>
        </w:tc>
      </w:tr>
      <w:tr>
        <w:tc>
          <w:tcPr/>
          <w:p>
            <w:pPr>
              <w:pStyle w:val="Compact"/>
              <w:jc w:val="left"/>
            </w:pPr>
            <w:r>
              <w:t xml:space="preserve">2025</w:t>
            </w:r>
          </w:p>
        </w:tc>
        <w:tc>
          <w:tcPr/>
          <w:p>
            <w:pPr>
              <w:pStyle w:val="Compact"/>
              <w:jc w:val="left"/>
            </w:pPr>
            <w:r>
              <w:t xml:space="preserve">Custom Denning Element 2</w:t>
            </w:r>
          </w:p>
        </w:tc>
        <w:tc>
          <w:tcPr/>
          <w:p>
            <w:pPr>
              <w:pStyle w:val="Compact"/>
              <w:jc w:val="left"/>
            </w:pPr>
            <w:r>
              <w:t xml:space="preserve">382–456</w:t>
            </w:r>
          </w:p>
        </w:tc>
        <w:tc>
          <w:tcPr/>
          <w:p>
            <w:pPr>
              <w:pStyle w:val="Compact"/>
              <w:jc w:val="left"/>
            </w:pPr>
            <w:r>
              <w:t xml:space="preserve">400–500 km</w:t>
            </w:r>
          </w:p>
        </w:tc>
        <w:tc>
          <w:tcPr/>
          <w:p>
            <w:pPr>
              <w:pStyle w:val="Compact"/>
              <w:jc w:val="left"/>
            </w:pPr>
            <w:r>
              <w:t xml:space="preserve">NMC</w:t>
            </w:r>
          </w:p>
        </w:tc>
      </w:tr>
      <w:tr>
        <w:tc>
          <w:tcPr/>
          <w:p>
            <w:pPr>
              <w:pStyle w:val="Compact"/>
              <w:jc w:val="left"/>
            </w:pPr>
            <w:r>
              <w:t xml:space="preserve">2025</w:t>
            </w:r>
          </w:p>
        </w:tc>
        <w:tc>
          <w:tcPr/>
          <w:p>
            <w:pPr>
              <w:pStyle w:val="Compact"/>
              <w:jc w:val="left"/>
            </w:pPr>
            <w:r>
              <w:t xml:space="preserve">Volvo BZL</w:t>
            </w:r>
          </w:p>
        </w:tc>
        <w:tc>
          <w:tcPr/>
          <w:p>
            <w:pPr>
              <w:pStyle w:val="Compact"/>
              <w:jc w:val="left"/>
            </w:pPr>
            <w:r>
              <w:t xml:space="preserve">282–470</w:t>
            </w:r>
          </w:p>
        </w:tc>
        <w:tc>
          <w:tcPr/>
          <w:p>
            <w:pPr>
              <w:pStyle w:val="Compact"/>
              <w:jc w:val="left"/>
            </w:pPr>
            <w:r>
              <w:t xml:space="preserve">up to 250 km</w:t>
            </w:r>
          </w:p>
        </w:tc>
        <w:tc>
          <w:tcPr/>
          <w:p>
            <w:pPr>
              <w:pStyle w:val="Compact"/>
              <w:jc w:val="left"/>
            </w:pPr>
            <w:r>
              <w:t xml:space="preserve">NCA</w:t>
            </w:r>
          </w:p>
        </w:tc>
      </w:tr>
      <w:tr>
        <w:tc>
          <w:tcPr/>
          <w:p>
            <w:pPr>
              <w:pStyle w:val="Compact"/>
              <w:jc w:val="left"/>
            </w:pPr>
            <w:r>
              <w:t xml:space="preserve">2025</w:t>
            </w:r>
          </w:p>
        </w:tc>
        <w:tc>
          <w:tcPr/>
          <w:p>
            <w:pPr>
              <w:pStyle w:val="Compact"/>
              <w:jc w:val="left"/>
            </w:pPr>
            <w:r>
              <w:t xml:space="preserve">MAN Lion’s City E 12</w:t>
            </w:r>
          </w:p>
        </w:tc>
        <w:tc>
          <w:tcPr/>
          <w:p>
            <w:pPr>
              <w:pStyle w:val="Compact"/>
              <w:jc w:val="left"/>
            </w:pPr>
            <w:r>
              <w:t xml:space="preserve">~480</w:t>
            </w:r>
          </w:p>
        </w:tc>
        <w:tc>
          <w:tcPr/>
          <w:p>
            <w:pPr>
              <w:pStyle w:val="Compact"/>
              <w:jc w:val="left"/>
            </w:pPr>
            <w:r>
              <w:t xml:space="preserve">550 km (test)</w:t>
            </w:r>
          </w:p>
        </w:tc>
        <w:tc>
          <w:tcPr/>
          <w:p>
            <w:pPr>
              <w:pStyle w:val="Compact"/>
              <w:jc w:val="left"/>
            </w:pPr>
            <w:r>
              <w:t xml:space="preserve">NMC</w:t>
            </w:r>
          </w:p>
        </w:tc>
      </w:tr>
      <w:tr>
        <w:tc>
          <w:tcPr/>
          <w:p>
            <w:pPr>
              <w:pStyle w:val="Compact"/>
              <w:jc w:val="left"/>
            </w:pPr>
            <w:r>
              <w:t xml:space="preserve">2025</w:t>
            </w:r>
          </w:p>
        </w:tc>
        <w:tc>
          <w:tcPr/>
          <w:p>
            <w:pPr>
              <w:pStyle w:val="Compact"/>
              <w:jc w:val="left"/>
            </w:pPr>
            <w:r>
              <w:t xml:space="preserve">New Flyer Xcelsior CHARGE NG (40ft)</w:t>
            </w:r>
          </w:p>
        </w:tc>
        <w:tc>
          <w:tcPr/>
          <w:p>
            <w:pPr>
              <w:pStyle w:val="Compact"/>
              <w:jc w:val="left"/>
            </w:pPr>
            <w:r>
              <w:t xml:space="preserve">345–525</w:t>
            </w:r>
          </w:p>
        </w:tc>
        <w:tc>
          <w:tcPr/>
          <w:p>
            <w:pPr>
              <w:pStyle w:val="Compact"/>
              <w:jc w:val="left"/>
            </w:pPr>
            <w:r>
              <w:t xml:space="preserve">290–415 km</w:t>
            </w:r>
          </w:p>
        </w:tc>
        <w:tc>
          <w:tcPr/>
          <w:p>
            <w:pPr>
              <w:pStyle w:val="Compact"/>
              <w:jc w:val="left"/>
            </w:pPr>
            <w:r>
              <w:t xml:space="preserve">NMC</w:t>
            </w:r>
          </w:p>
        </w:tc>
      </w:tr>
    </w:tbl>
    <w:p>
      <w:pPr>
        <w:pStyle w:val="BodyText"/>
      </w:pPr>
      <w:r>
        <w:rPr>
          <w:i/>
          <w:iCs/>
        </w:rPr>
        <w:t xml:space="preserve">Sources: BYD</w:t>
      </w:r>
      <w:r>
        <w:rPr>
          <w:i/>
          <w:iCs/>
        </w:rPr>
        <w:t xml:space="preserve"> </w:t>
      </w:r>
      <w:r>
        <w:rPr>
          <w:i/>
          <w:iCs/>
        </w:rPr>
        <w:t xml:space="preserve">(EVMagz, 2024; Wikipedia, 2025a)</w:t>
      </w:r>
      <w:r>
        <w:rPr>
          <w:i/>
          <w:iCs/>
        </w:rPr>
        <w:t xml:space="preserve">, Proterra</w:t>
      </w:r>
      <w:r>
        <w:rPr>
          <w:i/>
          <w:iCs/>
        </w:rPr>
        <w:t xml:space="preserve"> </w:t>
      </w:r>
      <w:r>
        <w:rPr>
          <w:i/>
          <w:iCs/>
        </w:rPr>
        <w:t xml:space="preserve">(Green Car Congress, 2016; InsideEVs, 2022; Lambert, 2016; Wikipedia, 2025b)</w:t>
      </w:r>
      <w:r>
        <w:rPr>
          <w:i/>
          <w:iCs/>
        </w:rPr>
        <w:t xml:space="preserve">, Yutong</w:t>
      </w:r>
      <w:r>
        <w:rPr>
          <w:i/>
          <w:iCs/>
        </w:rPr>
        <w:t xml:space="preserve"> </w:t>
      </w:r>
      <w:r>
        <w:rPr>
          <w:i/>
          <w:iCs/>
        </w:rPr>
        <w:t xml:space="preserve">(Route One, 2024)</w:t>
      </w:r>
      <w:r>
        <w:rPr>
          <w:i/>
          <w:iCs/>
        </w:rPr>
        <w:t xml:space="preserve">, New Flyer</w:t>
      </w:r>
      <w:r>
        <w:rPr>
          <w:i/>
          <w:iCs/>
        </w:rPr>
        <w:t xml:space="preserve"> </w:t>
      </w:r>
      <w:r>
        <w:rPr>
          <w:i/>
          <w:iCs/>
        </w:rPr>
        <w:t xml:space="preserve">(New Flyer, 2025)</w:t>
      </w:r>
    </w:p>
    <w:p>
      <w:pPr>
        <w:pStyle w:val="BodyText"/>
      </w:pPr>
      <w:r>
        <w:t xml:space="preserve">The trend is clear: battery capacity for a comparable 12m bus has roughly</w:t>
      </w:r>
      <w:r>
        <w:t xml:space="preserve"> </w:t>
      </w:r>
      <w:r>
        <w:rPr>
          <w:b/>
          <w:bCs/>
        </w:rPr>
        <w:t xml:space="preserve">tripled to quadrupled</w:t>
      </w:r>
      <w:r>
        <w:t xml:space="preserve"> </w:t>
      </w:r>
      <w:r>
        <w:t xml:space="preserve">over a decade. Yutong’s recent upgrade from 344 to 466 kWh on the same E12 platform — a 35% increase within a single generation — illustrates how rapidly the technology is improving.</w:t>
      </w:r>
    </w:p>
    <w:p>
      <w:pPr>
        <w:pStyle w:val="BodyText"/>
      </w:pPr>
      <w:r>
        <w:t xml:space="preserve">Two different strategies are visible:</w:t>
      </w:r>
    </w:p>
    <w:p>
      <w:pPr>
        <w:pStyle w:val="Compact"/>
        <w:numPr>
          <w:ilvl w:val="0"/>
          <w:numId w:val="1001"/>
        </w:numPr>
      </w:pPr>
      <w:r>
        <w:rPr>
          <w:b/>
          <w:bCs/>
        </w:rPr>
        <w:t xml:space="preserve">BYD and Yutong</w:t>
      </w:r>
      <w:r>
        <w:t xml:space="preserve"> </w:t>
      </w:r>
      <w:r>
        <w:t xml:space="preserve">use LFP (lithium iron phosphate) chemistry, which is cheaper per kWh and more thermally stable but heavier. BYD’s K9 has maintained ~342 kWh since 2010, focusing on cost reduction through manufacturing scale rather than capacity increases. Yutong has recently pushed LFP capacity higher.</w:t>
      </w:r>
    </w:p>
    <w:p>
      <w:pPr>
        <w:pStyle w:val="Compact"/>
        <w:numPr>
          <w:ilvl w:val="0"/>
          <w:numId w:val="1001"/>
        </w:numPr>
      </w:pPr>
      <w:r>
        <w:rPr>
          <w:b/>
          <w:bCs/>
        </w:rPr>
        <w:t xml:space="preserve">Proterra, Custom Denning, MAN, New Flyer</w:t>
      </w:r>
      <w:r>
        <w:t xml:space="preserve"> </w:t>
      </w:r>
      <w:r>
        <w:t xml:space="preserve">use NMC (nickel manganese cobalt) chemistry, which has higher energy density (lighter packs for equivalent capacity) but at higher cost and with greater thermal management requirements.</w:t>
      </w:r>
    </w:p>
    <w:bookmarkEnd w:id="32"/>
    <w:bookmarkStart w:id="33" w:name="battery-cost-trajectory"/>
    <w:p>
      <w:pPr>
        <w:pStyle w:val="Heading2"/>
      </w:pPr>
      <w:r>
        <w:t xml:space="preserve">Battery cost trajectory</w:t>
      </w:r>
    </w:p>
    <w:p>
      <w:pPr>
        <w:pStyle w:val="FirstParagraph"/>
      </w:pPr>
      <w:r>
        <w:t xml:space="preserve">Battery pack costs have fallen roughly 90% over 15 years</w:t>
      </w:r>
      <w:r>
        <w:t xml:space="preserve"> </w:t>
      </w:r>
      <w:r>
        <w:t xml:space="preserve">(Teslarati, 2024)</w:t>
      </w:r>
      <w:r>
        <w:t xml:space="preserve">:</w:t>
      </w:r>
    </w:p>
    <w:p>
      <w:pPr>
        <w:pStyle w:val="BodyText"/>
      </w:pPr>
      <w:r>
        <w:rPr>
          <w:b/>
          <w:bCs/>
        </w:rPr>
        <w:t xml:space="preserve">EV Battery Pack Cost (industry benchmark)</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Year</w:t>
            </w:r>
          </w:p>
        </w:tc>
        <w:tc>
          <w:tcPr/>
          <w:p>
            <w:pPr>
              <w:pStyle w:val="Compact"/>
              <w:jc w:val="right"/>
            </w:pPr>
            <w:r>
              <w:t xml:space="preserve">Cost ($/kWh)</w:t>
            </w:r>
          </w:p>
        </w:tc>
      </w:tr>
      <w:tr>
        <w:tc>
          <w:tcPr/>
          <w:p>
            <w:pPr>
              <w:pStyle w:val="Compact"/>
              <w:jc w:val="left"/>
            </w:pPr>
            <w:r>
              <w:t xml:space="preserve">2008</w:t>
            </w:r>
          </w:p>
        </w:tc>
        <w:tc>
          <w:tcPr/>
          <w:p>
            <w:pPr>
              <w:pStyle w:val="Compact"/>
              <w:jc w:val="right"/>
            </w:pPr>
            <w:r>
              <w:t xml:space="preserve">1,415</w:t>
            </w:r>
          </w:p>
        </w:tc>
      </w:tr>
      <w:tr>
        <w:tc>
          <w:tcPr/>
          <w:p>
            <w:pPr>
              <w:pStyle w:val="Compact"/>
              <w:jc w:val="left"/>
            </w:pPr>
            <w:r>
              <w:t xml:space="preserve">2013</w:t>
            </w:r>
          </w:p>
        </w:tc>
        <w:tc>
          <w:tcPr/>
          <w:p>
            <w:pPr>
              <w:pStyle w:val="Compact"/>
              <w:jc w:val="right"/>
            </w:pPr>
            <w:r>
              <w:t xml:space="preserve">~600</w:t>
            </w:r>
          </w:p>
        </w:tc>
      </w:tr>
      <w:tr>
        <w:tc>
          <w:tcPr/>
          <w:p>
            <w:pPr>
              <w:pStyle w:val="Compact"/>
              <w:jc w:val="left"/>
            </w:pPr>
            <w:r>
              <w:t xml:space="preserve">2018</w:t>
            </w:r>
          </w:p>
        </w:tc>
        <w:tc>
          <w:tcPr/>
          <w:p>
            <w:pPr>
              <w:pStyle w:val="Compact"/>
              <w:jc w:val="right"/>
            </w:pPr>
            <w:r>
              <w:t xml:space="preserve">~180</w:t>
            </w:r>
          </w:p>
        </w:tc>
      </w:tr>
      <w:tr>
        <w:tc>
          <w:tcPr/>
          <w:p>
            <w:pPr>
              <w:pStyle w:val="Compact"/>
              <w:jc w:val="left"/>
            </w:pPr>
            <w:r>
              <w:t xml:space="preserve">2023</w:t>
            </w:r>
          </w:p>
        </w:tc>
        <w:tc>
          <w:tcPr/>
          <w:p>
            <w:pPr>
              <w:pStyle w:val="Compact"/>
              <w:jc w:val="right"/>
            </w:pPr>
            <w:r>
              <w:t xml:space="preserve">~139</w:t>
            </w:r>
          </w:p>
        </w:tc>
      </w:tr>
    </w:tbl>
    <w:p>
      <w:pPr>
        <w:pStyle w:val="BodyText"/>
      </w:pPr>
      <w:r>
        <w:rPr>
          <w:i/>
          <w:iCs/>
        </w:rPr>
        <w:t xml:space="preserve">Source: Based on BloombergNEF data compiled by Teslarati</w:t>
      </w:r>
      <w:r>
        <w:rPr>
          <w:i/>
          <w:iCs/>
        </w:rPr>
        <w:t xml:space="preserve"> </w:t>
      </w:r>
      <w:r>
        <w:rPr>
          <w:i/>
          <w:iCs/>
        </w:rPr>
        <w:t xml:space="preserve">(Teslarati, 2024)</w:t>
      </w:r>
      <w:r>
        <w:rPr>
          <w:i/>
          <w:iCs/>
        </w:rPr>
        <w:t xml:space="preserve">. Note: bus battery packs may be somewhat higher than the light-vehicle benchmark due to lower volumes and different specifications.</w:t>
      </w:r>
    </w:p>
    <w:p>
      <w:pPr>
        <w:pStyle w:val="BodyText"/>
      </w:pPr>
      <w:r>
        <w:t xml:space="preserve">At $139/kWh, a 400 kWh bus battery pack costs roughly $55,000–60,000 — still a significant portion of the bus cost, but dramatically lower than a decade ago.</w:t>
      </w:r>
    </w:p>
    <w:bookmarkEnd w:id="33"/>
    <w:bookmarkStart w:id="34" w:name="battery-warranty-progression"/>
    <w:p>
      <w:pPr>
        <w:pStyle w:val="Heading2"/>
      </w:pPr>
      <w:r>
        <w:t xml:space="preserve">Battery warranty progression</w:t>
      </w:r>
    </w:p>
    <w:p>
      <w:pPr>
        <w:pStyle w:val="FirstParagraph"/>
      </w:pPr>
      <w:r>
        <w:t xml:space="preserve">Yutong recently upgraded its battery warranty from standard terms to</w:t>
      </w:r>
      <w:r>
        <w:t xml:space="preserve"> </w:t>
      </w:r>
      <w:r>
        <w:rPr>
          <w:b/>
          <w:bCs/>
        </w:rPr>
        <w:t xml:space="preserve">10 years / 800,000 km at 70% state of health</w:t>
      </w:r>
      <w:r>
        <w:t xml:space="preserve">, with a 15-year / 1.5 million km option available</w:t>
      </w:r>
      <w:r>
        <w:t xml:space="preserve"> </w:t>
      </w:r>
      <w:r>
        <w:t xml:space="preserve">(Route One, 2024)</w:t>
      </w:r>
      <w:r>
        <w:t xml:space="preserve">. This reflects growing confidence in LFP cycle life and is relevant for fleet operators evaluating total cost of ownership.</w:t>
      </w:r>
    </w:p>
    <w:p>
      <w:r>
        <w:pict>
          <v:rect style="width:0;height:1.5pt" o:hralign="center" o:hrstd="t" o:hr="t"/>
        </w:pict>
      </w:r>
    </w:p>
    <w:bookmarkEnd w:id="34"/>
    <w:bookmarkEnd w:id="35"/>
    <w:bookmarkStart w:id="37" w:name="real-world-energy-consumption"/>
    <w:p>
      <w:pPr>
        <w:pStyle w:val="Heading1"/>
      </w:pPr>
      <w:r>
        <w:t xml:space="preserve">Real-World Energy Consumption</w:t>
      </w:r>
    </w:p>
    <w:p>
      <w:pPr>
        <w:pStyle w:val="FirstParagraph"/>
      </w:pPr>
      <w:r>
        <w:t xml:space="preserve">Energy consumption varies dramatically with conditions. For a standard 12m electric bus</w:t>
      </w:r>
      <w:r>
        <w:t xml:space="preserve"> </w:t>
      </w:r>
      <w:r>
        <w:t xml:space="preserve">(Sustainable Bus, 2024b)</w:t>
      </w:r>
      <w:r>
        <w:t xml:space="preserve">:</w:t>
      </w:r>
    </w:p>
    <w:p>
      <w:pPr>
        <w:pStyle w:val="BodyText"/>
      </w:pPr>
      <w:r>
        <w:rPr>
          <w:b/>
          <w:bCs/>
        </w:rPr>
        <w:t xml:space="preserve">Electric Bus Energy Consumption (12m, real-world)</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Condition</w:t>
            </w:r>
          </w:p>
        </w:tc>
        <w:tc>
          <w:tcPr/>
          <w:p>
            <w:pPr>
              <w:pStyle w:val="Compact"/>
              <w:jc w:val="right"/>
            </w:pPr>
            <w:r>
              <w:t xml:space="preserve">Consumption (kWh/km)</w:t>
            </w:r>
          </w:p>
        </w:tc>
      </w:tr>
      <w:tr>
        <w:tc>
          <w:tcPr/>
          <w:p>
            <w:pPr>
              <w:pStyle w:val="Compact"/>
              <w:jc w:val="left"/>
            </w:pPr>
            <w:r>
              <w:t xml:space="preserve">Best case (20°C, light traffic, skilled driver)</w:t>
            </w:r>
          </w:p>
        </w:tc>
        <w:tc>
          <w:tcPr/>
          <w:p>
            <w:pPr>
              <w:pStyle w:val="Compact"/>
              <w:jc w:val="right"/>
            </w:pPr>
            <w:r>
              <w:t xml:space="preserve">0.8</w:t>
            </w:r>
          </w:p>
        </w:tc>
      </w:tr>
      <w:tr>
        <w:tc>
          <w:tcPr/>
          <w:p>
            <w:pPr>
              <w:pStyle w:val="Compact"/>
              <w:jc w:val="left"/>
            </w:pPr>
            <w:r>
              <w:t xml:space="preserve">Typical summer</w:t>
            </w:r>
          </w:p>
        </w:tc>
        <w:tc>
          <w:tcPr/>
          <w:p>
            <w:pPr>
              <w:pStyle w:val="Compact"/>
              <w:jc w:val="right"/>
            </w:pPr>
            <w:r>
              <w:t xml:space="preserve">1.0–1.4</w:t>
            </w:r>
          </w:p>
        </w:tc>
      </w:tr>
      <w:tr>
        <w:tc>
          <w:tcPr/>
          <w:p>
            <w:pPr>
              <w:pStyle w:val="Compact"/>
              <w:jc w:val="left"/>
            </w:pPr>
            <w:r>
              <w:t xml:space="preserve">Winter with diesel-assisted heating</w:t>
            </w:r>
          </w:p>
        </w:tc>
        <w:tc>
          <w:tcPr/>
          <w:p>
            <w:pPr>
              <w:pStyle w:val="Compact"/>
              <w:jc w:val="right"/>
            </w:pPr>
            <w:r>
              <w:t xml:space="preserve">~1.5</w:t>
            </w:r>
          </w:p>
        </w:tc>
      </w:tr>
      <w:tr>
        <w:tc>
          <w:tcPr/>
          <w:p>
            <w:pPr>
              <w:pStyle w:val="Compact"/>
              <w:jc w:val="left"/>
            </w:pPr>
            <w:r>
              <w:t xml:space="preserve">Winter with full electric heating</w:t>
            </w:r>
          </w:p>
        </w:tc>
        <w:tc>
          <w:tcPr/>
          <w:p>
            <w:pPr>
              <w:pStyle w:val="Compact"/>
              <w:jc w:val="right"/>
            </w:pPr>
            <w:r>
              <w:t xml:space="preserve">2.3–2.5</w:t>
            </w:r>
          </w:p>
        </w:tc>
      </w:tr>
    </w:tbl>
    <w:p>
      <w:pPr>
        <w:pStyle w:val="BodyText"/>
      </w:pPr>
      <w:r>
        <w:rPr>
          <w:i/>
          <w:iCs/>
        </w:rPr>
        <w:t xml:space="preserve">Source: Sustainable Bus</w:t>
      </w:r>
      <w:r>
        <w:rPr>
          <w:i/>
          <w:iCs/>
        </w:rPr>
        <w:t xml:space="preserve"> </w:t>
      </w:r>
      <w:r>
        <w:rPr>
          <w:i/>
          <w:iCs/>
        </w:rPr>
        <w:t xml:space="preserve">(Sustainable Bus, 2024b)</w:t>
      </w:r>
    </w:p>
    <w:p>
      <w:pPr>
        <w:pStyle w:val="BodyText"/>
      </w:pPr>
      <w:r>
        <w:t xml:space="preserve">Cold weather (−5 to 0°C) can reduce range by up to</w:t>
      </w:r>
      <w:r>
        <w:t xml:space="preserve"> </w:t>
      </w:r>
      <w:r>
        <w:rPr>
          <w:b/>
          <w:bCs/>
        </w:rPr>
        <w:t xml:space="preserve">38%</w:t>
      </w:r>
      <w:r>
        <w:t xml:space="preserve">, primarily due to heating demand. Driver skill also matters: regenerative braking technique accounts for roughly 30% variation in consumption.</w:t>
      </w:r>
    </w:p>
    <w:p>
      <w:pPr>
        <w:pStyle w:val="BodyText"/>
      </w:pPr>
      <w:r>
        <w:t xml:space="preserve">For Australian conditions (mild winters, hot summers with air conditioning), consumption of</w:t>
      </w:r>
      <w:r>
        <w:t xml:space="preserve"> </w:t>
      </w:r>
      <w:r>
        <w:rPr>
          <w:b/>
          <w:bCs/>
        </w:rPr>
        <w:t xml:space="preserve">1.0–1.3 kWh/km</w:t>
      </w:r>
      <w:r>
        <w:t xml:space="preserve"> </w:t>
      </w:r>
      <w:r>
        <w:t xml:space="preserve">is a reasonable planning estimate. This implies a 400 kWh bus can cover</w:t>
      </w:r>
      <w:r>
        <w:t xml:space="preserve"> </w:t>
      </w:r>
      <w:r>
        <w:rPr>
          <w:b/>
          <w:bCs/>
        </w:rPr>
        <w:t xml:space="preserve">300–400 km</w:t>
      </w:r>
      <w:r>
        <w:t xml:space="preserve"> </w:t>
      </w:r>
      <w:r>
        <w:t xml:space="preserve">per charge — well within the typical daily duty cycle for an urban route bus.</w:t>
      </w:r>
    </w:p>
    <w:bookmarkStart w:id="36" w:name="range-records-test-conditions"/>
    <w:p>
      <w:pPr>
        <w:pStyle w:val="Heading2"/>
      </w:pPr>
      <w:r>
        <w:t xml:space="preserve">Range records (test conditions)</w:t>
      </w:r>
    </w:p>
    <w:p>
      <w:pPr>
        <w:pStyle w:val="FirstParagraph"/>
      </w:pPr>
      <w:r>
        <w:t xml:space="preserve">Several manufacturers have demonstrated extended ranges under controlled conditions:</w:t>
      </w:r>
    </w:p>
    <w:p>
      <w:pPr>
        <w:pStyle w:val="Compact"/>
        <w:numPr>
          <w:ilvl w:val="0"/>
          <w:numId w:val="1002"/>
        </w:numPr>
      </w:pPr>
      <w:r>
        <w:rPr>
          <w:b/>
          <w:bCs/>
        </w:rPr>
        <w:t xml:space="preserve">MAN Lion’s City E 12</w:t>
      </w:r>
      <w:r>
        <w:t xml:space="preserve">: 550 km (24-hour TÜV SÜD monitored test)</w:t>
      </w:r>
    </w:p>
    <w:p>
      <w:pPr>
        <w:pStyle w:val="Compact"/>
        <w:numPr>
          <w:ilvl w:val="0"/>
          <w:numId w:val="1002"/>
        </w:numPr>
      </w:pPr>
      <w:r>
        <w:rPr>
          <w:b/>
          <w:bCs/>
        </w:rPr>
        <w:t xml:space="preserve">Iveco E-WAY</w:t>
      </w:r>
      <w:r>
        <w:t xml:space="preserve">: 527 km single charge (HVAC off)</w:t>
      </w:r>
    </w:p>
    <w:p>
      <w:pPr>
        <w:pStyle w:val="Compact"/>
        <w:numPr>
          <w:ilvl w:val="0"/>
          <w:numId w:val="1002"/>
        </w:numPr>
      </w:pPr>
      <w:r>
        <w:rPr>
          <w:b/>
          <w:bCs/>
        </w:rPr>
        <w:t xml:space="preserve">VDL Citea</w:t>
      </w:r>
      <w:r>
        <w:t xml:space="preserve"> </w:t>
      </w:r>
      <w:r>
        <w:t xml:space="preserve">(490 kWh): 500+ km over 24 hours</w:t>
      </w:r>
    </w:p>
    <w:p>
      <w:pPr>
        <w:pStyle w:val="FirstParagraph"/>
      </w:pPr>
      <w:r>
        <w:t xml:space="preserve">These are not achievable in daily service but demonstrate the headroom in current battery technology.</w:t>
      </w:r>
    </w:p>
    <w:p>
      <w:r>
        <w:pict>
          <v:rect style="width:0;height:1.5pt" o:hralign="center" o:hrstd="t" o:hr="t"/>
        </w:pict>
      </w:r>
    </w:p>
    <w:bookmarkEnd w:id="36"/>
    <w:bookmarkEnd w:id="37"/>
    <w:bookmarkStart w:id="38" w:name="key-observations"/>
    <w:p>
      <w:pPr>
        <w:pStyle w:val="Heading1"/>
      </w:pPr>
      <w:r>
        <w:t xml:space="preserve">Key Observations</w:t>
      </w:r>
    </w:p>
    <w:p>
      <w:pPr>
        <w:numPr>
          <w:ilvl w:val="0"/>
          <w:numId w:val="1003"/>
        </w:numPr>
      </w:pPr>
      <w:r>
        <w:rPr>
          <w:b/>
          <w:bCs/>
        </w:rPr>
        <w:t xml:space="preserve">China built early and big.</w:t>
      </w:r>
      <w:r>
        <w:t xml:space="preserve"> </w:t>
      </w:r>
      <w:r>
        <w:t xml:space="preserve">Most of China’s 680,000 electric buses were deployed before 2020, driven by national subsidies. The city bus market is now essentially saturated — current demand is replacement-cycle.</w:t>
      </w:r>
    </w:p>
    <w:p>
      <w:pPr>
        <w:numPr>
          <w:ilvl w:val="0"/>
          <w:numId w:val="1003"/>
        </w:numPr>
      </w:pPr>
      <w:r>
        <w:rPr>
          <w:b/>
          <w:bCs/>
        </w:rPr>
        <w:t xml:space="preserve">Europe is catching up fast.</w:t>
      </w:r>
      <w:r>
        <w:t xml:space="preserve"> </w:t>
      </w:r>
      <w:r>
        <w:t xml:space="preserve">EU city bus registrations hit 60% zero-emission in 2025. The market doubled in two years (from ~6,400 in 2023 to ~11,600 in 2025).</w:t>
      </w:r>
    </w:p>
    <w:p>
      <w:pPr>
        <w:numPr>
          <w:ilvl w:val="0"/>
          <w:numId w:val="1003"/>
        </w:numPr>
      </w:pPr>
      <w:r>
        <w:rPr>
          <w:b/>
          <w:bCs/>
        </w:rPr>
        <w:t xml:space="preserve">Chinese manufacturers are winning in export markets.</w:t>
      </w:r>
      <w:r>
        <w:t xml:space="preserve"> </w:t>
      </w:r>
      <w:r>
        <w:t xml:space="preserve">Yutong leads the European market by volume (#1 in both 2024 and 2025). Combined with BYD, Chinese makers hold ~27% of European electric bus sales and are growing faster than European incumbents.</w:t>
      </w:r>
    </w:p>
    <w:p>
      <w:pPr>
        <w:numPr>
          <w:ilvl w:val="0"/>
          <w:numId w:val="1003"/>
        </w:numPr>
      </w:pPr>
      <w:r>
        <w:rPr>
          <w:b/>
          <w:bCs/>
        </w:rPr>
        <w:t xml:space="preserve">The US is surprisingly behind.</w:t>
      </w:r>
      <w:r>
        <w:t xml:space="preserve"> </w:t>
      </w:r>
      <w:r>
        <w:t xml:space="preserve">Proterra’s 2023 bankruptcy disrupted the market. India and South Korea both overtook the US in sales volume in 2024.</w:t>
      </w:r>
    </w:p>
    <w:p>
      <w:pPr>
        <w:numPr>
          <w:ilvl w:val="0"/>
          <w:numId w:val="1003"/>
        </w:numPr>
      </w:pPr>
      <w:r>
        <w:rPr>
          <w:b/>
          <w:bCs/>
        </w:rPr>
        <w:t xml:space="preserve">Battery technology has matured.</w:t>
      </w:r>
      <w:r>
        <w:t xml:space="preserve"> </w:t>
      </w:r>
      <w:r>
        <w:t xml:space="preserve">The 400–500 kWh range is now standard for a 12m bus, delivering 300–400 km of real-world range. This is sufficient for most urban route operations without midday charging. The constraint has shifted from battery capability to</w:t>
      </w:r>
      <w:r>
        <w:t xml:space="preserve"> </w:t>
      </w:r>
      <w:r>
        <w:rPr>
          <w:b/>
          <w:bCs/>
        </w:rPr>
        <w:t xml:space="preserve">depot charging infrastructure</w:t>
      </w:r>
      <w:r>
        <w:t xml:space="preserve">.</w:t>
      </w:r>
    </w:p>
    <w:p>
      <w:pPr>
        <w:numPr>
          <w:ilvl w:val="0"/>
          <w:numId w:val="1003"/>
        </w:numPr>
      </w:pPr>
      <w:r>
        <w:rPr>
          <w:b/>
          <w:bCs/>
        </w:rPr>
        <w:t xml:space="preserve">LFP vs NMC is the key chemistry divide.</w:t>
      </w:r>
      <w:r>
        <w:t xml:space="preserve"> </w:t>
      </w:r>
      <w:r>
        <w:t xml:space="preserve">Chinese buses overwhelmingly use LFP (cheaper, safer, heavier). Western/Australian buses often use NMC (lighter, higher energy density, more expensive). Both approaches deliver workable products; the choice is primarily economic.</w:t>
      </w:r>
    </w:p>
    <w:p>
      <w:r>
        <w:pict>
          <v:rect style="width:0;height:1.5pt" o:hralign="center" o:hrstd="t" o:hr="t"/>
        </w:pict>
      </w:r>
    </w:p>
    <w:bookmarkEnd w:id="38"/>
    <w:bookmarkStart w:id="76" w:name="references"/>
    <w:p>
      <w:pPr>
        <w:pStyle w:val="Heading1"/>
      </w:pPr>
      <w:r>
        <w:t xml:space="preserve">References</w:t>
      </w:r>
    </w:p>
    <w:bookmarkStart w:id="75" w:name="refs"/>
    <w:bookmarkStart w:id="40" w:name="ref-evmagz-byd-k9"/>
    <w:p>
      <w:pPr>
        <w:pStyle w:val="Bibliography"/>
      </w:pPr>
      <w:r>
        <w:t xml:space="preserve">EVMagz. (2024).</w:t>
      </w:r>
      <w:r>
        <w:t xml:space="preserve"> </w:t>
      </w:r>
      <w:r>
        <w:rPr>
          <w:i/>
          <w:iCs/>
        </w:rPr>
        <w:t xml:space="preserve">BYD</w:t>
      </w:r>
      <w:r>
        <w:rPr>
          <w:i/>
          <w:iCs/>
        </w:rPr>
        <w:t xml:space="preserve"> </w:t>
      </w:r>
      <w:r>
        <w:rPr>
          <w:i/>
          <w:iCs/>
        </w:rPr>
        <w:t xml:space="preserve">K9</w:t>
      </w:r>
      <w:r>
        <w:rPr>
          <w:i/>
          <w:iCs/>
        </w:rPr>
        <w:t xml:space="preserve"> </w:t>
      </w:r>
      <w:r>
        <w:rPr>
          <w:i/>
          <w:iCs/>
        </w:rPr>
        <w:t xml:space="preserve">electric bus: Specifications, battery and range</w:t>
      </w:r>
      <w:r>
        <w:t xml:space="preserve">.</w:t>
      </w:r>
      <w:r>
        <w:t xml:space="preserve"> </w:t>
      </w:r>
      <w:hyperlink r:id="rId39">
        <w:r>
          <w:rPr>
            <w:rStyle w:val="Hyperlink"/>
          </w:rPr>
          <w:t xml:space="preserve">https://evmagz.com/byd-k9-electric-bus-specifications-battery-and-range/</w:t>
        </w:r>
      </w:hyperlink>
    </w:p>
    <w:bookmarkEnd w:id="40"/>
    <w:bookmarkStart w:id="42" w:name="ref-greencarcongress-proterra-xr-2016"/>
    <w:p>
      <w:pPr>
        <w:pStyle w:val="Bibliography"/>
      </w:pPr>
      <w:r>
        <w:t xml:space="preserve">Green Car Congress. (2016).</w:t>
      </w:r>
      <w:r>
        <w:t xml:space="preserve"> </w:t>
      </w:r>
      <w:r>
        <w:rPr>
          <w:i/>
          <w:iCs/>
        </w:rPr>
        <w:t xml:space="preserve">Proterra boosts capacity of catalyst</w:t>
      </w:r>
      <w:r>
        <w:rPr>
          <w:i/>
          <w:iCs/>
        </w:rPr>
        <w:t xml:space="preserve"> </w:t>
      </w:r>
      <w:r>
        <w:rPr>
          <w:i/>
          <w:iCs/>
        </w:rPr>
        <w:t xml:space="preserve">XR</w:t>
      </w:r>
      <w:r>
        <w:rPr>
          <w:i/>
          <w:iCs/>
        </w:rPr>
        <w:t xml:space="preserve"> </w:t>
      </w:r>
      <w:r>
        <w:rPr>
          <w:i/>
          <w:iCs/>
        </w:rPr>
        <w:t xml:space="preserve">battery pack 28% to 330 kWh</w:t>
      </w:r>
      <w:r>
        <w:t xml:space="preserve">.</w:t>
      </w:r>
      <w:r>
        <w:t xml:space="preserve"> </w:t>
      </w:r>
      <w:hyperlink r:id="rId41">
        <w:r>
          <w:rPr>
            <w:rStyle w:val="Hyperlink"/>
          </w:rPr>
          <w:t xml:space="preserve">https://www.greencarcongress.com/2016/05/20160516-proterra.html</w:t>
        </w:r>
      </w:hyperlink>
    </w:p>
    <w:bookmarkEnd w:id="42"/>
    <w:bookmarkStart w:id="44" w:name="ref-insideevs-proterra-zx5-738"/>
    <w:p>
      <w:pPr>
        <w:pStyle w:val="Bibliography"/>
      </w:pPr>
      <w:r>
        <w:t xml:space="preserve">InsideEVs. (2022).</w:t>
      </w:r>
      <w:r>
        <w:t xml:space="preserve"> </w:t>
      </w:r>
      <w:r>
        <w:rPr>
          <w:i/>
          <w:iCs/>
        </w:rPr>
        <w:t xml:space="preserve">Proterra introduces 738 kWh battery packs for</w:t>
      </w:r>
      <w:r>
        <w:rPr>
          <w:i/>
          <w:iCs/>
        </w:rPr>
        <w:t xml:space="preserve"> </w:t>
      </w:r>
      <w:r>
        <w:rPr>
          <w:i/>
          <w:iCs/>
        </w:rPr>
        <w:t xml:space="preserve">ZX5</w:t>
      </w:r>
      <w:r>
        <w:rPr>
          <w:i/>
          <w:iCs/>
        </w:rPr>
        <w:t xml:space="preserve"> </w:t>
      </w:r>
      <w:r>
        <w:rPr>
          <w:i/>
          <w:iCs/>
        </w:rPr>
        <w:t xml:space="preserve">buses</w:t>
      </w:r>
      <w:r>
        <w:t xml:space="preserve">.</w:t>
      </w:r>
      <w:r>
        <w:t xml:space="preserve"> </w:t>
      </w:r>
      <w:hyperlink r:id="rId43">
        <w:r>
          <w:rPr>
            <w:rStyle w:val="Hyperlink"/>
          </w:rPr>
          <w:t xml:space="preserve">https://insideevs.com/news/580469/proterra-738kwh-battery-zx5-buses/</w:t>
        </w:r>
      </w:hyperlink>
    </w:p>
    <w:bookmarkEnd w:id="44"/>
    <w:bookmarkStart w:id="46" w:name="ref-icct-china-ze-2024"/>
    <w:p>
      <w:pPr>
        <w:pStyle w:val="Bibliography"/>
      </w:pPr>
      <w:r>
        <w:t xml:space="preserve">International Council on Clean Transportation. (2025).</w:t>
      </w:r>
      <w:r>
        <w:t xml:space="preserve"> </w:t>
      </w:r>
      <w:r>
        <w:rPr>
          <w:i/>
          <w:iCs/>
        </w:rPr>
        <w:t xml:space="preserve">China’s zero-emission truck and bus market reaches historic high of 230,000 units sold in 2024</w:t>
      </w:r>
      <w:r>
        <w:t xml:space="preserve">.</w:t>
      </w:r>
      <w:r>
        <w:t xml:space="preserve"> </w:t>
      </w:r>
      <w:hyperlink r:id="rId45">
        <w:r>
          <w:rPr>
            <w:rStyle w:val="Hyperlink"/>
          </w:rPr>
          <w:t xml:space="preserve">https://theicct.org/pr-chinas-zero-emission-truck-and-bus-market-reaches-historic-high-of-230000-units-sold-in-2024/</w:t>
        </w:r>
      </w:hyperlink>
    </w:p>
    <w:bookmarkEnd w:id="46"/>
    <w:bookmarkStart w:id="48" w:name="ref-iea-gevo-hd-2025"/>
    <w:p>
      <w:pPr>
        <w:pStyle w:val="Bibliography"/>
      </w:pPr>
      <w:r>
        <w:t xml:space="preserve">International Energy Agency. (2025).</w:t>
      </w:r>
      <w:r>
        <w:t xml:space="preserve"> </w:t>
      </w:r>
      <w:r>
        <w:rPr>
          <w:i/>
          <w:iCs/>
        </w:rPr>
        <w:t xml:space="preserve">Trends in heavy-duty electric vehicles – global</w:t>
      </w:r>
      <w:r>
        <w:rPr>
          <w:i/>
          <w:iCs/>
        </w:rPr>
        <w:t xml:space="preserve"> </w:t>
      </w:r>
      <w:r>
        <w:rPr>
          <w:i/>
          <w:iCs/>
        </w:rPr>
        <w:t xml:space="preserve">EV</w:t>
      </w:r>
      <w:r>
        <w:rPr>
          <w:i/>
          <w:iCs/>
        </w:rPr>
        <w:t xml:space="preserve"> </w:t>
      </w:r>
      <w:r>
        <w:rPr>
          <w:i/>
          <w:iCs/>
        </w:rPr>
        <w:t xml:space="preserve">outlook 2025</w:t>
      </w:r>
      <w:r>
        <w:t xml:space="preserve">.</w:t>
      </w:r>
      <w:r>
        <w:t xml:space="preserve"> </w:t>
      </w:r>
      <w:hyperlink r:id="rId47">
        <w:r>
          <w:rPr>
            <w:rStyle w:val="Hyperlink"/>
          </w:rPr>
          <w:t xml:space="preserve">https://www.iea.org/reports/global-ev-outlook-2025/trends-in-heavy-duty-electric-vehicles</w:t>
        </w:r>
      </w:hyperlink>
    </w:p>
    <w:bookmarkEnd w:id="48"/>
    <w:bookmarkStart w:id="50" w:name="ref-electrek-proterra-e2-2016"/>
    <w:p>
      <w:pPr>
        <w:pStyle w:val="Bibliography"/>
      </w:pPr>
      <w:r>
        <w:t xml:space="preserve">Lambert, F. (2016).</w:t>
      </w:r>
      <w:r>
        <w:t xml:space="preserve"> </w:t>
      </w:r>
      <w:r>
        <w:rPr>
          <w:i/>
          <w:iCs/>
        </w:rPr>
        <w:t xml:space="preserve">Proterra unveils new catalyst</w:t>
      </w:r>
      <w:r>
        <w:rPr>
          <w:i/>
          <w:iCs/>
        </w:rPr>
        <w:t xml:space="preserve"> </w:t>
      </w:r>
      <w:r>
        <w:rPr>
          <w:i/>
          <w:iCs/>
        </w:rPr>
        <w:t xml:space="preserve">E2</w:t>
      </w:r>
      <w:r>
        <w:rPr>
          <w:i/>
          <w:iCs/>
        </w:rPr>
        <w:t xml:space="preserve"> </w:t>
      </w:r>
      <w:r>
        <w:rPr>
          <w:i/>
          <w:iCs/>
        </w:rPr>
        <w:t xml:space="preserve">all-electric bus with 350 miles of range on massive 660 kWh battery</w:t>
      </w:r>
      <w:r>
        <w:t xml:space="preserve">.</w:t>
      </w:r>
      <w:r>
        <w:t xml:space="preserve"> </w:t>
      </w:r>
      <w:hyperlink r:id="rId49">
        <w:r>
          <w:rPr>
            <w:rStyle w:val="Hyperlink"/>
          </w:rPr>
          <w:t xml:space="preserve">https://electrek.co/2016/09/12/proterra-unveils-new-catalyst-e2-all-electric-bus-with-350-miles-of-range-on-massive-660-kwh-battery/</w:t>
        </w:r>
      </w:hyperlink>
    </w:p>
    <w:bookmarkEnd w:id="50"/>
    <w:bookmarkStart w:id="52" w:name="ref-newflyer-xcelsior-charge-ng"/>
    <w:p>
      <w:pPr>
        <w:pStyle w:val="Bibliography"/>
      </w:pPr>
      <w:r>
        <w:t xml:space="preserve">New Flyer. (2025).</w:t>
      </w:r>
      <w:r>
        <w:t xml:space="preserve"> </w:t>
      </w:r>
      <w:r>
        <w:rPr>
          <w:i/>
          <w:iCs/>
        </w:rPr>
        <w:t xml:space="preserve">Xcelsior</w:t>
      </w:r>
      <w:r>
        <w:rPr>
          <w:i/>
          <w:iCs/>
        </w:rPr>
        <w:t xml:space="preserve"> </w:t>
      </w:r>
      <w:r>
        <w:rPr>
          <w:i/>
          <w:iCs/>
        </w:rPr>
        <w:t xml:space="preserve">CHARGE</w:t>
      </w:r>
      <w:r>
        <w:rPr>
          <w:i/>
          <w:iCs/>
        </w:rPr>
        <w:t xml:space="preserve"> </w:t>
      </w:r>
      <w:r>
        <w:rPr>
          <w:i/>
          <w:iCs/>
        </w:rPr>
        <w:t xml:space="preserve">NG</w:t>
      </w:r>
      <w:r>
        <w:t xml:space="preserve">.</w:t>
      </w:r>
      <w:r>
        <w:t xml:space="preserve"> </w:t>
      </w:r>
      <w:hyperlink r:id="rId51">
        <w:r>
          <w:rPr>
            <w:rStyle w:val="Hyperlink"/>
          </w:rPr>
          <w:t xml:space="preserve">https://www.newflyer.com/bus/xcelsior-charge-ng/</w:t>
        </w:r>
      </w:hyperlink>
    </w:p>
    <w:bookmarkEnd w:id="52"/>
    <w:bookmarkStart w:id="54" w:name="ref-route-one-yutong-upgrade"/>
    <w:p>
      <w:pPr>
        <w:pStyle w:val="Bibliography"/>
      </w:pPr>
      <w:r>
        <w:t xml:space="preserve">Route One. (2024).</w:t>
      </w:r>
      <w:r>
        <w:t xml:space="preserve"> </w:t>
      </w:r>
      <w:r>
        <w:rPr>
          <w:i/>
          <w:iCs/>
        </w:rPr>
        <w:t xml:space="preserve">Yutong electric bus battery capacities and warranties to increase</w:t>
      </w:r>
      <w:r>
        <w:t xml:space="preserve">.</w:t>
      </w:r>
      <w:r>
        <w:t xml:space="preserve"> </w:t>
      </w:r>
      <w:hyperlink r:id="rId53">
        <w:r>
          <w:rPr>
            <w:rStyle w:val="Hyperlink"/>
          </w:rPr>
          <w:t xml:space="preserve">https://www.route-one.net/news/yutong-electric-bus-battery-capacities-and-warranties-to-increase/</w:t>
        </w:r>
      </w:hyperlink>
    </w:p>
    <w:bookmarkEnd w:id="54"/>
    <w:bookmarkStart w:id="56" w:name="ref-sustainable-bus-china-h1-2024"/>
    <w:p>
      <w:pPr>
        <w:pStyle w:val="Bibliography"/>
      </w:pPr>
      <w:r>
        <w:t xml:space="preserve">Sustainable Bus. (2024a).</w:t>
      </w:r>
      <w:r>
        <w:t xml:space="preserve"> </w:t>
      </w:r>
      <w:r>
        <w:rPr>
          <w:i/>
          <w:iCs/>
        </w:rPr>
        <w:t xml:space="preserve">China bus market 2024 first half</w:t>
      </w:r>
      <w:r>
        <w:t xml:space="preserve">.</w:t>
      </w:r>
      <w:r>
        <w:t xml:space="preserve"> </w:t>
      </w:r>
      <w:hyperlink r:id="rId55">
        <w:r>
          <w:rPr>
            <w:rStyle w:val="Hyperlink"/>
          </w:rPr>
          <w:t xml:space="preserve">https://www.sustainable-bus.com/news/china-bus-market-2024-first-half/</w:t>
        </w:r>
      </w:hyperlink>
    </w:p>
    <w:bookmarkEnd w:id="56"/>
    <w:bookmarkStart w:id="58" w:name="ref-sustainable-bus-range-consumption"/>
    <w:p>
      <w:pPr>
        <w:pStyle w:val="Bibliography"/>
      </w:pPr>
      <w:r>
        <w:t xml:space="preserve">Sustainable Bus. (2024b).</w:t>
      </w:r>
      <w:r>
        <w:t xml:space="preserve"> </w:t>
      </w:r>
      <w:r>
        <w:rPr>
          <w:i/>
          <w:iCs/>
        </w:rPr>
        <w:t xml:space="preserve">Electric bus range and electricity consumption</w:t>
      </w:r>
      <w:r>
        <w:t xml:space="preserve">.</w:t>
      </w:r>
      <w:r>
        <w:t xml:space="preserve"> </w:t>
      </w:r>
      <w:hyperlink r:id="rId57">
        <w:r>
          <w:rPr>
            <w:rStyle w:val="Hyperlink"/>
          </w:rPr>
          <w:t xml:space="preserve">https://www.sustainable-bus.com/news/electric-bus-range-electricity-consumption/</w:t>
        </w:r>
      </w:hyperlink>
    </w:p>
    <w:bookmarkEnd w:id="58"/>
    <w:bookmarkStart w:id="60" w:name="ref-sustainable-bus-europe-2024"/>
    <w:p>
      <w:pPr>
        <w:pStyle w:val="Bibliography"/>
      </w:pPr>
      <w:r>
        <w:t xml:space="preserve">Sustainable Bus. (2025a).</w:t>
      </w:r>
      <w:r>
        <w:t xml:space="preserve"> </w:t>
      </w:r>
      <w:r>
        <w:rPr>
          <w:i/>
          <w:iCs/>
        </w:rPr>
        <w:t xml:space="preserve">Electric bus market in</w:t>
      </w:r>
      <w:r>
        <w:rPr>
          <w:i/>
          <w:iCs/>
        </w:rPr>
        <w:t xml:space="preserve"> </w:t>
      </w:r>
      <w:r>
        <w:rPr>
          <w:i/>
          <w:iCs/>
        </w:rPr>
        <w:t xml:space="preserve">Europe</w:t>
      </w:r>
      <w:r>
        <w:rPr>
          <w:i/>
          <w:iCs/>
        </w:rPr>
        <w:t xml:space="preserve"> </w:t>
      </w:r>
      <w:r>
        <w:rPr>
          <w:i/>
          <w:iCs/>
        </w:rPr>
        <w:t xml:space="preserve">2024</w:t>
      </w:r>
      <w:r>
        <w:t xml:space="preserve">.</w:t>
      </w:r>
      <w:r>
        <w:t xml:space="preserve"> </w:t>
      </w:r>
      <w:hyperlink r:id="rId59">
        <w:r>
          <w:rPr>
            <w:rStyle w:val="Hyperlink"/>
          </w:rPr>
          <w:t xml:space="preserve">https://www.sustainable-bus.com/news/electric-bus-market-europe-2024-figures/</w:t>
        </w:r>
      </w:hyperlink>
    </w:p>
    <w:bookmarkEnd w:id="60"/>
    <w:bookmarkStart w:id="62" w:name="ref-sustainable-bus-india-2024"/>
    <w:p>
      <w:pPr>
        <w:pStyle w:val="Bibliography"/>
      </w:pPr>
      <w:r>
        <w:t xml:space="preserve">Sustainable Bus. (2025b).</w:t>
      </w:r>
      <w:r>
        <w:t xml:space="preserve"> </w:t>
      </w:r>
      <w:r>
        <w:rPr>
          <w:i/>
          <w:iCs/>
        </w:rPr>
        <w:t xml:space="preserve">India bus market 2024 electric buses</w:t>
      </w:r>
      <w:r>
        <w:t xml:space="preserve">.</w:t>
      </w:r>
      <w:r>
        <w:t xml:space="preserve"> </w:t>
      </w:r>
      <w:hyperlink r:id="rId61">
        <w:r>
          <w:rPr>
            <w:rStyle w:val="Hyperlink"/>
          </w:rPr>
          <w:t xml:space="preserve">https://www.sustainable-bus.com/news/india-bus-market-2024-electric-buses/</w:t>
        </w:r>
      </w:hyperlink>
    </w:p>
    <w:bookmarkEnd w:id="62"/>
    <w:bookmarkStart w:id="64" w:name="ref-sustainable-bus-europe-2025"/>
    <w:p>
      <w:pPr>
        <w:pStyle w:val="Bibliography"/>
      </w:pPr>
      <w:r>
        <w:t xml:space="preserve">Sustainable Bus. (2026a).</w:t>
      </w:r>
      <w:r>
        <w:t xml:space="preserve"> </w:t>
      </w:r>
      <w:r>
        <w:rPr>
          <w:i/>
          <w:iCs/>
        </w:rPr>
        <w:t xml:space="preserve">Electric bus market in</w:t>
      </w:r>
      <w:r>
        <w:rPr>
          <w:i/>
          <w:iCs/>
        </w:rPr>
        <w:t xml:space="preserve"> </w:t>
      </w:r>
      <w:r>
        <w:rPr>
          <w:i/>
          <w:iCs/>
        </w:rPr>
        <w:t xml:space="preserve">Europe</w:t>
      </w:r>
      <w:r>
        <w:rPr>
          <w:i/>
          <w:iCs/>
        </w:rPr>
        <w:t xml:space="preserve"> </w:t>
      </w:r>
      <w:r>
        <w:rPr>
          <w:i/>
          <w:iCs/>
        </w:rPr>
        <w:t xml:space="preserve">2025</w:t>
      </w:r>
      <w:r>
        <w:t xml:space="preserve">.</w:t>
      </w:r>
      <w:r>
        <w:t xml:space="preserve"> </w:t>
      </w:r>
      <w:hyperlink r:id="rId63">
        <w:r>
          <w:rPr>
            <w:rStyle w:val="Hyperlink"/>
          </w:rPr>
          <w:t xml:space="preserve">https://www.sustainable-bus.com/news/electric-bus-market-europe-2025/</w:t>
        </w:r>
      </w:hyperlink>
    </w:p>
    <w:bookmarkEnd w:id="64"/>
    <w:bookmarkStart w:id="66" w:name="ref-sustainable-bus-india-2025"/>
    <w:p>
      <w:pPr>
        <w:pStyle w:val="Bibliography"/>
      </w:pPr>
      <w:r>
        <w:t xml:space="preserve">Sustainable Bus. (2026b).</w:t>
      </w:r>
      <w:r>
        <w:t xml:space="preserve"> </w:t>
      </w:r>
      <w:r>
        <w:rPr>
          <w:i/>
          <w:iCs/>
        </w:rPr>
        <w:t xml:space="preserve">India electric bus market 2025</w:t>
      </w:r>
      <w:r>
        <w:t xml:space="preserve">.</w:t>
      </w:r>
      <w:r>
        <w:t xml:space="preserve"> </w:t>
      </w:r>
      <w:hyperlink r:id="rId65">
        <w:r>
          <w:rPr>
            <w:rStyle w:val="Hyperlink"/>
          </w:rPr>
          <w:t xml:space="preserve">https://www.sustainable-bus.com/news/india-2025-electric-bus-market/</w:t>
        </w:r>
      </w:hyperlink>
    </w:p>
    <w:bookmarkEnd w:id="66"/>
    <w:bookmarkStart w:id="68" w:name="ref-sustainable-bus-ze-eu-city-2025"/>
    <w:p>
      <w:pPr>
        <w:pStyle w:val="Bibliography"/>
      </w:pPr>
      <w:r>
        <w:t xml:space="preserve">Sustainable Bus. (2026c).</w:t>
      </w:r>
      <w:r>
        <w:t xml:space="preserve"> </w:t>
      </w:r>
      <w:r>
        <w:rPr>
          <w:i/>
          <w:iCs/>
        </w:rPr>
        <w:t xml:space="preserve">Zero-emission buses reach 60% of</w:t>
      </w:r>
      <w:r>
        <w:rPr>
          <w:i/>
          <w:iCs/>
        </w:rPr>
        <w:t xml:space="preserve"> </w:t>
      </w:r>
      <w:r>
        <w:rPr>
          <w:i/>
          <w:iCs/>
        </w:rPr>
        <w:t xml:space="preserve">EU</w:t>
      </w:r>
      <w:r>
        <w:rPr>
          <w:i/>
          <w:iCs/>
        </w:rPr>
        <w:t xml:space="preserve"> </w:t>
      </w:r>
      <w:r>
        <w:rPr>
          <w:i/>
          <w:iCs/>
        </w:rPr>
        <w:t xml:space="preserve">city bus registrations in 2025</w:t>
      </w:r>
      <w:r>
        <w:t xml:space="preserve">.</w:t>
      </w:r>
      <w:r>
        <w:t xml:space="preserve"> </w:t>
      </w:r>
      <w:hyperlink r:id="rId67">
        <w:r>
          <w:rPr>
            <w:rStyle w:val="Hyperlink"/>
          </w:rPr>
          <w:t xml:space="preserve">https://www.sustainable-bus.com/news/electric-buses-city-2025-europe-transport-environment/</w:t>
        </w:r>
      </w:hyperlink>
    </w:p>
    <w:bookmarkEnd w:id="68"/>
    <w:bookmarkStart w:id="70" w:name="ref-teslarati-battery-cost-history"/>
    <w:p>
      <w:pPr>
        <w:pStyle w:val="Bibliography"/>
      </w:pPr>
      <w:r>
        <w:t xml:space="preserve">Teslarati. (2024).</w:t>
      </w:r>
      <w:r>
        <w:t xml:space="preserve"> </w:t>
      </w:r>
      <w:r>
        <w:rPr>
          <w:i/>
          <w:iCs/>
        </w:rPr>
        <w:t xml:space="preserve">EV</w:t>
      </w:r>
      <w:r>
        <w:rPr>
          <w:i/>
          <w:iCs/>
        </w:rPr>
        <w:t xml:space="preserve"> </w:t>
      </w:r>
      <w:r>
        <w:rPr>
          <w:i/>
          <w:iCs/>
        </w:rPr>
        <w:t xml:space="preserve">battery prices dropped over 15 years</w:t>
      </w:r>
      <w:r>
        <w:t xml:space="preserve">.</w:t>
      </w:r>
      <w:r>
        <w:t xml:space="preserve"> </w:t>
      </w:r>
      <w:hyperlink r:id="rId69">
        <w:r>
          <w:rPr>
            <w:rStyle w:val="Hyperlink"/>
          </w:rPr>
          <w:t xml:space="preserve">https://www.teslarati.com/ev-battery-prices-dropped-15-years/</w:t>
        </w:r>
      </w:hyperlink>
    </w:p>
    <w:bookmarkEnd w:id="70"/>
    <w:bookmarkStart w:id="72" w:name="ref-wikipedia-byd-k-series"/>
    <w:p>
      <w:pPr>
        <w:pStyle w:val="Bibliography"/>
      </w:pPr>
      <w:r>
        <w:t xml:space="preserve">Wikipedia. (2025a).</w:t>
      </w:r>
      <w:r>
        <w:t xml:space="preserve"> </w:t>
      </w:r>
      <w:r>
        <w:rPr>
          <w:i/>
          <w:iCs/>
        </w:rPr>
        <w:t xml:space="preserve">BYD</w:t>
      </w:r>
      <w:r>
        <w:rPr>
          <w:i/>
          <w:iCs/>
        </w:rPr>
        <w:t xml:space="preserve"> </w:t>
      </w:r>
      <w:r>
        <w:rPr>
          <w:i/>
          <w:iCs/>
        </w:rPr>
        <w:t xml:space="preserve">K</w:t>
      </w:r>
      <w:r>
        <w:rPr>
          <w:i/>
          <w:iCs/>
        </w:rPr>
        <w:t xml:space="preserve"> </w:t>
      </w:r>
      <w:r>
        <w:rPr>
          <w:i/>
          <w:iCs/>
        </w:rPr>
        <w:t xml:space="preserve">series</w:t>
      </w:r>
      <w:r>
        <w:t xml:space="preserve">.</w:t>
      </w:r>
      <w:r>
        <w:t xml:space="preserve"> </w:t>
      </w:r>
      <w:hyperlink r:id="rId71">
        <w:r>
          <w:rPr>
            <w:rStyle w:val="Hyperlink"/>
          </w:rPr>
          <w:t xml:space="preserve">https://en.wikipedia.org/wiki/BYD_K_series</w:t>
        </w:r>
      </w:hyperlink>
    </w:p>
    <w:bookmarkEnd w:id="72"/>
    <w:bookmarkStart w:id="74" w:name="ref-wikipedia-proterra-catalyst"/>
    <w:p>
      <w:pPr>
        <w:pStyle w:val="Bibliography"/>
      </w:pPr>
      <w:r>
        <w:t xml:space="preserve">Wikipedia. (2025b).</w:t>
      </w:r>
      <w:r>
        <w:t xml:space="preserve"> </w:t>
      </w:r>
      <w:r>
        <w:rPr>
          <w:i/>
          <w:iCs/>
        </w:rPr>
        <w:t xml:space="preserve">Proterra catalyst</w:t>
      </w:r>
      <w:r>
        <w:t xml:space="preserve">.</w:t>
      </w:r>
      <w:r>
        <w:t xml:space="preserve"> </w:t>
      </w:r>
      <w:hyperlink r:id="rId73">
        <w:r>
          <w:rPr>
            <w:rStyle w:val="Hyperlink"/>
          </w:rPr>
          <w:t xml:space="preserve">https://en.wikipedia.org/wiki/Proterra_Catalyst</w:t>
        </w:r>
      </w:hyperlink>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electrek.co/2016/09/12/proterra-unveils-new-catalyst-e2-all-electric-bus-with-350-miles-of-range-on-massive-660-kwh-battery/" TargetMode="External" /><Relationship Type="http://schemas.openxmlformats.org/officeDocument/2006/relationships/hyperlink" Id="rId71" Target="https://en.wikipedia.org/wiki/BYD_K_series" TargetMode="External" /><Relationship Type="http://schemas.openxmlformats.org/officeDocument/2006/relationships/hyperlink" Id="rId73" Target="https://en.wikipedia.org/wiki/Proterra_Catalyst" TargetMode="External" /><Relationship Type="http://schemas.openxmlformats.org/officeDocument/2006/relationships/hyperlink" Id="rId39" Target="https://evmagz.com/byd-k9-electric-bus-specifications-battery-and-range/" TargetMode="External" /><Relationship Type="http://schemas.openxmlformats.org/officeDocument/2006/relationships/hyperlink" Id="rId43" Target="https://insideevs.com/news/580469/proterra-738kwh-battery-zx5-buses/" TargetMode="External" /><Relationship Type="http://schemas.openxmlformats.org/officeDocument/2006/relationships/hyperlink" Id="rId45" Target="https://theicct.org/pr-chinas-zero-emission-truck-and-bus-market-reaches-historic-high-of-230000-units-sold-in-2024/" TargetMode="External" /><Relationship Type="http://schemas.openxmlformats.org/officeDocument/2006/relationships/hyperlink" Id="rId41" Target="https://www.greencarcongress.com/2016/05/20160516-proterra.html" TargetMode="External" /><Relationship Type="http://schemas.openxmlformats.org/officeDocument/2006/relationships/hyperlink" Id="rId47" Target="https://www.iea.org/reports/global-ev-outlook-2025/trends-in-heavy-duty-electric-vehicles" TargetMode="External" /><Relationship Type="http://schemas.openxmlformats.org/officeDocument/2006/relationships/hyperlink" Id="rId51" Target="https://www.newflyer.com/bus/xcelsior-charge-ng/" TargetMode="External" /><Relationship Type="http://schemas.openxmlformats.org/officeDocument/2006/relationships/hyperlink" Id="rId53" Target="https://www.route-one.net/news/yutong-electric-bus-battery-capacities-and-warranties-to-increase/" TargetMode="External" /><Relationship Type="http://schemas.openxmlformats.org/officeDocument/2006/relationships/hyperlink" Id="rId55" Target="https://www.sustainable-bus.com/news/china-bus-market-2024-first-half/" TargetMode="External" /><Relationship Type="http://schemas.openxmlformats.org/officeDocument/2006/relationships/hyperlink" Id="rId59" Target="https://www.sustainable-bus.com/news/electric-bus-market-europe-2024-figures/" TargetMode="External" /><Relationship Type="http://schemas.openxmlformats.org/officeDocument/2006/relationships/hyperlink" Id="rId63" Target="https://www.sustainable-bus.com/news/electric-bus-market-europe-2025/" TargetMode="External" /><Relationship Type="http://schemas.openxmlformats.org/officeDocument/2006/relationships/hyperlink" Id="rId57" Target="https://www.sustainable-bus.com/news/electric-bus-range-electricity-consumption/" TargetMode="External" /><Relationship Type="http://schemas.openxmlformats.org/officeDocument/2006/relationships/hyperlink" Id="rId67" Target="https://www.sustainable-bus.com/news/electric-buses-city-2025-europe-transport-environment/" TargetMode="External" /><Relationship Type="http://schemas.openxmlformats.org/officeDocument/2006/relationships/hyperlink" Id="rId65" Target="https://www.sustainable-bus.com/news/india-2025-electric-bus-market/" TargetMode="External" /><Relationship Type="http://schemas.openxmlformats.org/officeDocument/2006/relationships/hyperlink" Id="rId61" Target="https://www.sustainable-bus.com/news/india-bus-market-2024-electric-buses/" TargetMode="External" /><Relationship Type="http://schemas.openxmlformats.org/officeDocument/2006/relationships/hyperlink" Id="rId69" Target="https://www.teslarati.com/ev-battery-prices-dropped-15-years/" TargetMode="External" /></Relationships>
</file>

<file path=word/_rels/footnotes.xml.rels><?xml version="1.0" encoding="UTF-8"?><Relationships xmlns="http://schemas.openxmlformats.org/package/2006/relationships"><Relationship Type="http://schemas.openxmlformats.org/officeDocument/2006/relationships/hyperlink" Id="rId49" Target="https://electrek.co/2016/09/12/proterra-unveils-new-catalyst-e2-all-electric-bus-with-350-miles-of-range-on-massive-660-kwh-battery/" TargetMode="External" /><Relationship Type="http://schemas.openxmlformats.org/officeDocument/2006/relationships/hyperlink" Id="rId71" Target="https://en.wikipedia.org/wiki/BYD_K_series" TargetMode="External" /><Relationship Type="http://schemas.openxmlformats.org/officeDocument/2006/relationships/hyperlink" Id="rId73" Target="https://en.wikipedia.org/wiki/Proterra_Catalyst" TargetMode="External" /><Relationship Type="http://schemas.openxmlformats.org/officeDocument/2006/relationships/hyperlink" Id="rId39" Target="https://evmagz.com/byd-k9-electric-bus-specifications-battery-and-range/" TargetMode="External" /><Relationship Type="http://schemas.openxmlformats.org/officeDocument/2006/relationships/hyperlink" Id="rId43" Target="https://insideevs.com/news/580469/proterra-738kwh-battery-zx5-buses/" TargetMode="External" /><Relationship Type="http://schemas.openxmlformats.org/officeDocument/2006/relationships/hyperlink" Id="rId45" Target="https://theicct.org/pr-chinas-zero-emission-truck-and-bus-market-reaches-historic-high-of-230000-units-sold-in-2024/" TargetMode="External" /><Relationship Type="http://schemas.openxmlformats.org/officeDocument/2006/relationships/hyperlink" Id="rId41" Target="https://www.greencarcongress.com/2016/05/20160516-proterra.html" TargetMode="External" /><Relationship Type="http://schemas.openxmlformats.org/officeDocument/2006/relationships/hyperlink" Id="rId47" Target="https://www.iea.org/reports/global-ev-outlook-2025/trends-in-heavy-duty-electric-vehicles" TargetMode="External" /><Relationship Type="http://schemas.openxmlformats.org/officeDocument/2006/relationships/hyperlink" Id="rId51" Target="https://www.newflyer.com/bus/xcelsior-charge-ng/" TargetMode="External" /><Relationship Type="http://schemas.openxmlformats.org/officeDocument/2006/relationships/hyperlink" Id="rId53" Target="https://www.route-one.net/news/yutong-electric-bus-battery-capacities-and-warranties-to-increase/" TargetMode="External" /><Relationship Type="http://schemas.openxmlformats.org/officeDocument/2006/relationships/hyperlink" Id="rId55" Target="https://www.sustainable-bus.com/news/china-bus-market-2024-first-half/" TargetMode="External" /><Relationship Type="http://schemas.openxmlformats.org/officeDocument/2006/relationships/hyperlink" Id="rId59" Target="https://www.sustainable-bus.com/news/electric-bus-market-europe-2024-figures/" TargetMode="External" /><Relationship Type="http://schemas.openxmlformats.org/officeDocument/2006/relationships/hyperlink" Id="rId63" Target="https://www.sustainable-bus.com/news/electric-bus-market-europe-2025/" TargetMode="External" /><Relationship Type="http://schemas.openxmlformats.org/officeDocument/2006/relationships/hyperlink" Id="rId57" Target="https://www.sustainable-bus.com/news/electric-bus-range-electricity-consumption/" TargetMode="External" /><Relationship Type="http://schemas.openxmlformats.org/officeDocument/2006/relationships/hyperlink" Id="rId67" Target="https://www.sustainable-bus.com/news/electric-buses-city-2025-europe-transport-environment/" TargetMode="External" /><Relationship Type="http://schemas.openxmlformats.org/officeDocument/2006/relationships/hyperlink" Id="rId65" Target="https://www.sustainable-bus.com/news/india-2025-electric-bus-market/" TargetMode="External" /><Relationship Type="http://schemas.openxmlformats.org/officeDocument/2006/relationships/hyperlink" Id="rId61" Target="https://www.sustainable-bus.com/news/india-bus-market-2024-electric-buses/" TargetMode="External" /><Relationship Type="http://schemas.openxmlformats.org/officeDocument/2006/relationships/hyperlink" Id="rId69" Target="https://www.teslarati.com/ev-battery-prices-dropped-15-yea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Electric Bus Market: Fleet Size, Manufacturers, and Technology Evolution</dc:title>
  <dc:creator>David Leitch</dc:creator>
  <cp:keywords/>
  <dcterms:created xsi:type="dcterms:W3CDTF">2026-04-10T01:35:27Z</dcterms:created>
  <dcterms:modified xsi:type="dcterms:W3CDTF">2026-04-10T01:35:27Z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global_ebus_references.bib</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2026-03-16</vt:lpwstr>
  </property>
  <property fmtid="{D5CDD505-2E9C-101B-9397-08002B2CF9AE}" pid="9" name="draft">
    <vt:lpwstr>False</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tbl-cap-location">
    <vt:lpwstr>bottom</vt:lpwstr>
  </property>
  <property fmtid="{D5CDD505-2E9C-101B-9397-08002B2CF9AE}" pid="16" name="toc-title">
    <vt:lpwstr>Table of contents</vt:lpwstr>
  </property>
</Properties>
</file>