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9" w:name="Xab52622edf785f94c754c66afbf2d1c84f69707"/>
    <w:p>
      <w:pPr>
        <w:pStyle w:val="Heading1"/>
      </w:pPr>
      <w:r>
        <w:t xml:space="preserve">Queensland Economic Data: Context for Climate Economics Analysis</w:t>
      </w:r>
    </w:p>
    <w:p>
      <w:pPr>
        <w:pStyle w:val="FirstParagraph"/>
      </w:pPr>
      <w:r>
        <w:rPr>
          <w:i/>
          <w:iCs/>
        </w:rPr>
        <w:t xml:space="preserve">Compiled 10 March 2026. Sources: ABS State Accounts (Cat. 5220.0), Queensland Treasury, QGSO, DFAT, ABARES, Deloitte Access Economics, Tourism Research Australia, QLD Budget 2025–26.</w:t>
      </w:r>
    </w:p>
    <w:p>
      <w:r>
        <w:pict>
          <v:rect style="width:0;height:1.5pt" o:hralign="center" o:hrstd="t" o:hr="t"/>
        </w:pict>
      </w:r>
    </w:p>
    <w:bookmarkStart w:id="22" w:name="queensland-gross-state-product-gsp"/>
    <w:p>
      <w:pPr>
        <w:pStyle w:val="Heading2"/>
      </w:pPr>
      <w:r>
        <w:t xml:space="preserve">1. Queensland Gross State Product (GSP)</w:t>
      </w:r>
    </w:p>
    <w:bookmarkStart w:id="20" w:name="gsp-time-series"/>
    <w:p>
      <w:pPr>
        <w:pStyle w:val="Heading3"/>
      </w:pPr>
      <w:r>
        <w:t xml:space="preserve">1.1 GSP Time Series</w:t>
      </w:r>
    </w:p>
    <w:p>
      <w:pPr>
        <w:pStyle w:val="FirstParagraph"/>
      </w:pPr>
      <w:r>
        <w:t xml:space="preserve">Queensland’s GSP at current prices reached $531 billion in 2024–25, making it Australia’s third-largest state economy after New South Wales and Victoria. Queensland accounts for approximately 19.1 per cent of national GDP.</w:t>
      </w:r>
    </w:p>
    <w:p>
      <w:pPr>
        <w:pStyle w:val="BodyText"/>
      </w:pPr>
      <w:r>
        <w:rPr>
          <w:b/>
          <w:bCs/>
        </w:rPr>
        <w:t xml:space="preserve">Queensland GSP, current prices ($A billion), selected years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Financial Year</w:t>
            </w:r>
          </w:p>
        </w:tc>
        <w:tc>
          <w:tcPr/>
          <w:p>
            <w:pPr>
              <w:pStyle w:val="Compact"/>
              <w:jc w:val="right"/>
            </w:pPr>
            <w:r>
              <w:t xml:space="preserve">GSP (current prices, $B)</w:t>
            </w:r>
          </w:p>
        </w:tc>
        <w:tc>
          <w:tcPr/>
          <w:p>
            <w:pPr>
              <w:pStyle w:val="Compact"/>
              <w:jc w:val="left"/>
            </w:pPr>
            <w:r>
              <w:t xml:space="preserve">Source / Basis</w:t>
            </w:r>
          </w:p>
        </w:tc>
      </w:tr>
      <w:tr>
        <w:tc>
          <w:tcPr/>
          <w:p>
            <w:pPr>
              <w:pStyle w:val="Compact"/>
              <w:jc w:val="left"/>
            </w:pPr>
            <w:r>
              <w:t xml:space="preserve">2009–10</w:t>
            </w:r>
          </w:p>
        </w:tc>
        <w:tc>
          <w:tcPr/>
          <w:p>
            <w:pPr>
              <w:pStyle w:val="Compact"/>
              <w:jc w:val="right"/>
            </w:pPr>
            <w:r>
              <w:t xml:space="preserve">~265</w:t>
            </w:r>
          </w:p>
        </w:tc>
        <w:tc>
          <w:tcPr/>
          <w:p>
            <w:pPr>
              <w:pStyle w:val="Compact"/>
              <w:jc w:val="left"/>
            </w:pPr>
            <w:r>
              <w:t xml:space="preserve">ABS 5220.0 (exceeded $200B in 2006–07)</w:t>
            </w:r>
          </w:p>
        </w:tc>
      </w:tr>
      <w:tr>
        <w:tc>
          <w:tcPr/>
          <w:p>
            <w:pPr>
              <w:pStyle w:val="Compact"/>
              <w:jc w:val="left"/>
            </w:pPr>
            <w:r>
              <w:t xml:space="preserve">2010–11</w:t>
            </w:r>
          </w:p>
        </w:tc>
        <w:tc>
          <w:tcPr/>
          <w:p>
            <w:pPr>
              <w:pStyle w:val="Compact"/>
              <w:jc w:val="right"/>
            </w:pPr>
            <w:r>
              <w:t xml:space="preserve">~275</w:t>
            </w:r>
          </w:p>
        </w:tc>
        <w:tc>
          <w:tcPr/>
          <w:p>
            <w:pPr>
              <w:pStyle w:val="Compact"/>
              <w:jc w:val="left"/>
            </w:pPr>
            <w:r>
              <w:t xml:space="preserve">Growth impaired by floods/Yasi</w:t>
            </w:r>
          </w:p>
        </w:tc>
      </w:tr>
      <w:tr>
        <w:tc>
          <w:tcPr/>
          <w:p>
            <w:pPr>
              <w:pStyle w:val="Compact"/>
              <w:jc w:val="left"/>
            </w:pPr>
            <w:r>
              <w:t xml:space="preserve">2013–14</w:t>
            </w:r>
          </w:p>
        </w:tc>
        <w:tc>
          <w:tcPr/>
          <w:p>
            <w:pPr>
              <w:pStyle w:val="Compact"/>
              <w:jc w:val="right"/>
            </w:pPr>
            <w:r>
              <w:t xml:space="preserve">~305</w:t>
            </w:r>
          </w:p>
        </w:tc>
        <w:tc>
          <w:tcPr/>
          <w:p>
            <w:pPr>
              <w:pStyle w:val="Compact"/>
              <w:jc w:val="left"/>
            </w:pPr>
            <w:r>
              <w:t xml:space="preserve">ABS 5220.0</w:t>
            </w:r>
          </w:p>
        </w:tc>
      </w:tr>
      <w:tr>
        <w:tc>
          <w:tcPr/>
          <w:p>
            <w:pPr>
              <w:pStyle w:val="Compact"/>
              <w:jc w:val="left"/>
            </w:pPr>
            <w:r>
              <w:t xml:space="preserve">2017–18</w:t>
            </w:r>
          </w:p>
        </w:tc>
        <w:tc>
          <w:tcPr/>
          <w:p>
            <w:pPr>
              <w:pStyle w:val="Compact"/>
              <w:jc w:val="right"/>
            </w:pPr>
            <w:r>
              <w:t xml:space="preserve">~345</w:t>
            </w:r>
          </w:p>
        </w:tc>
        <w:tc>
          <w:tcPr/>
          <w:p>
            <w:pPr>
              <w:pStyle w:val="Compact"/>
              <w:jc w:val="left"/>
            </w:pPr>
            <w:r>
              <w:t xml:space="preserve">ABS 5220.0 (est.)</w:t>
            </w:r>
          </w:p>
        </w:tc>
      </w:tr>
      <w:tr>
        <w:tc>
          <w:tcPr/>
          <w:p>
            <w:pPr>
              <w:pStyle w:val="Compact"/>
              <w:jc w:val="left"/>
            </w:pPr>
            <w:r>
              <w:t xml:space="preserve">2019–20</w:t>
            </w:r>
          </w:p>
        </w:tc>
        <w:tc>
          <w:tcPr/>
          <w:p>
            <w:pPr>
              <w:pStyle w:val="Compact"/>
              <w:jc w:val="right"/>
            </w:pPr>
            <w:r>
              <w:t xml:space="preserve">~365</w:t>
            </w:r>
          </w:p>
        </w:tc>
        <w:tc>
          <w:tcPr/>
          <w:p>
            <w:pPr>
              <w:pStyle w:val="Compact"/>
              <w:jc w:val="left"/>
            </w:pPr>
            <w:r>
              <w:t xml:space="preserve">ABS 5220.0 (COVID contraction year)</w:t>
            </w:r>
          </w:p>
        </w:tc>
      </w:tr>
      <w:tr>
        <w:tc>
          <w:tcPr/>
          <w:p>
            <w:pPr>
              <w:pStyle w:val="Compact"/>
              <w:jc w:val="left"/>
            </w:pPr>
            <w:r>
              <w:t xml:space="preserve">2020–21</w:t>
            </w:r>
          </w:p>
        </w:tc>
        <w:tc>
          <w:tcPr/>
          <w:p>
            <w:pPr>
              <w:pStyle w:val="Compact"/>
              <w:jc w:val="right"/>
            </w:pPr>
            <w:r>
              <w:t xml:space="preserve">~375</w:t>
            </w:r>
          </w:p>
        </w:tc>
        <w:tc>
          <w:tcPr/>
          <w:p>
            <w:pPr>
              <w:pStyle w:val="Compact"/>
              <w:jc w:val="left"/>
            </w:pPr>
            <w:r>
              <w:t xml:space="preserve">ABS 5220.0</w:t>
            </w:r>
          </w:p>
        </w:tc>
      </w:tr>
      <w:tr>
        <w:tc>
          <w:tcPr/>
          <w:p>
            <w:pPr>
              <w:pStyle w:val="Compact"/>
              <w:jc w:val="left"/>
            </w:pPr>
            <w:r>
              <w:t xml:space="preserve">2021–22</w:t>
            </w:r>
          </w:p>
        </w:tc>
        <w:tc>
          <w:tcPr/>
          <w:p>
            <w:pPr>
              <w:pStyle w:val="Compact"/>
              <w:jc w:val="right"/>
            </w:pPr>
            <w:r>
              <w:t xml:space="preserve">~425</w:t>
            </w:r>
          </w:p>
        </w:tc>
        <w:tc>
          <w:tcPr/>
          <w:p>
            <w:pPr>
              <w:pStyle w:val="Compact"/>
              <w:jc w:val="left"/>
            </w:pPr>
            <w:r>
              <w:t xml:space="preserve">5.5% real growth year</w:t>
            </w:r>
          </w:p>
        </w:tc>
      </w:tr>
      <w:tr>
        <w:tc>
          <w:tcPr/>
          <w:p>
            <w:pPr>
              <w:pStyle w:val="Compact"/>
              <w:jc w:val="left"/>
            </w:pPr>
            <w:r>
              <w:t xml:space="preserve">2022–23</w:t>
            </w:r>
          </w:p>
        </w:tc>
        <w:tc>
          <w:tcPr/>
          <w:p>
            <w:pPr>
              <w:pStyle w:val="Compact"/>
              <w:jc w:val="right"/>
            </w:pPr>
            <w:r>
              <w:t xml:space="preserve">464</w:t>
            </w:r>
          </w:p>
        </w:tc>
        <w:tc>
          <w:tcPr/>
          <w:p>
            <w:pPr>
              <w:pStyle w:val="Compact"/>
              <w:jc w:val="left"/>
            </w:pPr>
            <w:r>
              <w:t xml:space="preserve">ABS confirmed; DFAT QLD fact sheet</w:t>
            </w:r>
          </w:p>
        </w:tc>
      </w:tr>
      <w:tr>
        <w:tc>
          <w:tcPr/>
          <w:p>
            <w:pPr>
              <w:pStyle w:val="Compact"/>
              <w:jc w:val="left"/>
            </w:pPr>
            <w:r>
              <w:t xml:space="preserve">2023–24</w:t>
            </w:r>
          </w:p>
        </w:tc>
        <w:tc>
          <w:tcPr/>
          <w:p>
            <w:pPr>
              <w:pStyle w:val="Compact"/>
              <w:jc w:val="right"/>
            </w:pPr>
            <w:r>
              <w:t xml:space="preserve">512</w:t>
            </w:r>
          </w:p>
        </w:tc>
        <w:tc>
          <w:tcPr/>
          <w:p>
            <w:pPr>
              <w:pStyle w:val="Compact"/>
              <w:jc w:val="left"/>
            </w:pPr>
            <w:r>
              <w:t xml:space="preserve">DFAT QLD economic fact sheet</w:t>
            </w:r>
          </w:p>
        </w:tc>
      </w:tr>
      <w:tr>
        <w:tc>
          <w:tcPr/>
          <w:p>
            <w:pPr>
              <w:pStyle w:val="Compact"/>
              <w:jc w:val="left"/>
            </w:pPr>
            <w:r>
              <w:t xml:space="preserve">2024–25</w:t>
            </w:r>
          </w:p>
        </w:tc>
        <w:tc>
          <w:tcPr/>
          <w:p>
            <w:pPr>
              <w:pStyle w:val="Compact"/>
              <w:jc w:val="right"/>
            </w:pPr>
            <w:r>
              <w:t xml:space="preserve">531</w:t>
            </w:r>
          </w:p>
        </w:tc>
        <w:tc>
          <w:tcPr/>
          <w:p>
            <w:pPr>
              <w:pStyle w:val="Compact"/>
              <w:jc w:val="left"/>
            </w:pPr>
            <w:r>
              <w:t xml:space="preserve">DFAT QLD economic fact sheet</w:t>
            </w:r>
          </w:p>
        </w:tc>
      </w:tr>
    </w:tbl>
    <w:p>
      <w:pPr>
        <w:pStyle w:val="BodyText"/>
      </w:pPr>
      <w:r>
        <w:rPr>
          <w:i/>
          <w:iCs/>
        </w:rPr>
        <w:t xml:space="preserve">Source: ABS Australian National Accounts: State Accounts 2024–25; DFAT Queensland Country Economic Fact Sheet 2024–25. Earlier years are rounded estimates based on reported growth rates applied backward from the confirmed 2022–23 figure of $464B. Exact historical figures available from QGSO State Account tables (1989–90 to 2024–25).</w:t>
      </w:r>
    </w:p>
    <w:p>
      <w:pPr>
        <w:pStyle w:val="BlockText"/>
      </w:pPr>
      <w:r>
        <w:rPr>
          <w:b/>
          <w:bCs/>
        </w:rPr>
        <w:t xml:space="preserve">Note on data access</w:t>
      </w:r>
      <w:r>
        <w:t xml:space="preserve">: The ABS State Accounts (Cat. 5220.0, released November 2025) and the QGSO State Account Excel tables contain complete annual time series from 1989–90 in both current prices and chain volume measures. The figures above for years prior to 2022–23 are author estimates derived by back-calculating from confirmed data points using reported real growth rates and an assumed GDP deflator. Official figures should be sourced from ABS/QGSO for publication.</w:t>
      </w:r>
    </w:p>
    <w:bookmarkEnd w:id="20"/>
    <w:bookmarkStart w:id="21" w:name="real-gsp-growth-rates"/>
    <w:p>
      <w:pPr>
        <w:pStyle w:val="Heading3"/>
      </w:pPr>
      <w:r>
        <w:t xml:space="preserve">1.2 Real GSP Growth Rates</w:t>
      </w:r>
    </w:p>
    <w:p>
      <w:pPr>
        <w:pStyle w:val="FirstParagraph"/>
      </w:pPr>
      <w:r>
        <w:rPr>
          <w:b/>
          <w:bCs/>
        </w:rPr>
        <w:t xml:space="preserve">Queensland real GSP growth (chain volume measures), annual percentage change</w:t>
      </w:r>
    </w:p>
    <w:tbl>
      <w:tblPr>
        <w:tblStyle w:val="Table"/>
        <w:tblW w:type="pct" w:w="5000"/>
        <w:tblLayout w:type="fixed"/>
        <w:tblLook w:firstRow="1" w:lastRow="0" w:firstColumn="0" w:lastColumn="0" w:noHBand="0" w:noVBand="0" w:val="0020"/>
      </w:tblPr>
      <w:tblGrid>
        <w:gridCol w:w="1735"/>
        <w:gridCol w:w="2712"/>
        <w:gridCol w:w="2712"/>
        <w:gridCol w:w="759"/>
      </w:tblGrid>
      <w:tr>
        <w:trPr>
          <w:tblHeader w:val="on"/>
        </w:trPr>
        <w:tc>
          <w:tcPr/>
          <w:p>
            <w:pPr>
              <w:pStyle w:val="Compact"/>
              <w:jc w:val="left"/>
            </w:pPr>
            <w:r>
              <w:t xml:space="preserve">Financial Year</w:t>
            </w:r>
          </w:p>
        </w:tc>
        <w:tc>
          <w:tcPr/>
          <w:p>
            <w:pPr>
              <w:pStyle w:val="Compact"/>
              <w:jc w:val="right"/>
            </w:pPr>
            <w:r>
              <w:t xml:space="preserve">QLD Real GSP Growth (%)</w:t>
            </w:r>
          </w:p>
        </w:tc>
        <w:tc>
          <w:tcPr/>
          <w:p>
            <w:pPr>
              <w:pStyle w:val="Compact"/>
              <w:jc w:val="right"/>
            </w:pPr>
            <w:r>
              <w:t xml:space="preserve">National GDP Growth (%)</w:t>
            </w:r>
          </w:p>
        </w:tc>
        <w:tc>
          <w:tcPr/>
          <w:p>
            <w:pPr>
              <w:pStyle w:val="Compact"/>
              <w:jc w:val="left"/>
            </w:pPr>
            <w:r>
              <w:t xml:space="preserve">Notes</w:t>
            </w:r>
          </w:p>
        </w:tc>
      </w:tr>
      <w:tr>
        <w:tc>
          <w:tcPr/>
          <w:p>
            <w:pPr>
              <w:pStyle w:val="Compact"/>
              <w:jc w:val="left"/>
            </w:pPr>
            <w:r>
              <w:t xml:space="preserve">2010–11</w:t>
            </w:r>
          </w:p>
        </w:tc>
        <w:tc>
          <w:tcPr/>
          <w:p>
            <w:pPr>
              <w:pStyle w:val="Compact"/>
              <w:jc w:val="right"/>
            </w:pPr>
            <w:r>
              <w:t xml:space="preserve">0.2</w:t>
            </w:r>
          </w:p>
        </w:tc>
        <w:tc>
          <w:tcPr/>
          <w:p>
            <w:pPr>
              <w:pStyle w:val="Compact"/>
              <w:jc w:val="right"/>
            </w:pPr>
            <w:r>
              <w:t xml:space="preserve">2.2</w:t>
            </w:r>
          </w:p>
        </w:tc>
        <w:tc>
          <w:tcPr/>
          <w:p>
            <w:pPr>
              <w:pStyle w:val="Compact"/>
              <w:jc w:val="left"/>
            </w:pPr>
            <w:r>
              <w:t xml:space="preserve">Floods + Cyclone Yasi</w:t>
            </w:r>
          </w:p>
        </w:tc>
      </w:tr>
      <w:tr>
        <w:tc>
          <w:tcPr/>
          <w:p>
            <w:pPr>
              <w:pStyle w:val="Compact"/>
              <w:jc w:val="left"/>
            </w:pPr>
            <w:r>
              <w:t xml:space="preserve">2011–12</w:t>
            </w:r>
          </w:p>
        </w:tc>
        <w:tc>
          <w:tcPr/>
          <w:p>
            <w:pPr>
              <w:pStyle w:val="Compact"/>
              <w:jc w:val="right"/>
            </w:pPr>
            <w:r>
              <w:t xml:space="preserve">~3.5</w:t>
            </w:r>
          </w:p>
        </w:tc>
        <w:tc>
          <w:tcPr/>
          <w:p>
            <w:pPr>
              <w:pStyle w:val="Compact"/>
              <w:jc w:val="right"/>
            </w:pPr>
            <w:r>
              <w:t xml:space="preserve">3.6</w:t>
            </w:r>
          </w:p>
        </w:tc>
        <w:tc>
          <w:tcPr/>
          <w:p>
            <w:pPr>
              <w:pStyle w:val="Compact"/>
              <w:jc w:val="left"/>
            </w:pPr>
            <w:r>
              <w:t xml:space="preserve">Recovery year</w:t>
            </w:r>
          </w:p>
        </w:tc>
      </w:tr>
      <w:tr>
        <w:tc>
          <w:tcPr/>
          <w:p>
            <w:pPr>
              <w:pStyle w:val="Compact"/>
              <w:jc w:val="left"/>
            </w:pPr>
            <w:r>
              <w:t xml:space="preserve">2012–13</w:t>
            </w:r>
          </w:p>
        </w:tc>
        <w:tc>
          <w:tcPr/>
          <w:p>
            <w:pPr>
              <w:pStyle w:val="Compact"/>
              <w:jc w:val="right"/>
            </w:pPr>
            <w:r>
              <w:t xml:space="preserve">~2.5</w:t>
            </w:r>
          </w:p>
        </w:tc>
        <w:tc>
          <w:tcPr/>
          <w:p>
            <w:pPr>
              <w:pStyle w:val="Compact"/>
              <w:jc w:val="right"/>
            </w:pPr>
            <w:r>
              <w:t xml:space="preserve">2.6</w:t>
            </w:r>
          </w:p>
        </w:tc>
        <w:tc>
          <w:tcPr/>
          <w:p>
            <w:pPr>
              <w:pStyle w:val="Compact"/>
              <w:jc w:val="left"/>
            </w:pPr>
            <w:r>
              <w:t xml:space="preserve">Mining investment peak</w:t>
            </w:r>
          </w:p>
        </w:tc>
      </w:tr>
      <w:tr>
        <w:tc>
          <w:tcPr/>
          <w:p>
            <w:pPr>
              <w:pStyle w:val="Compact"/>
              <w:jc w:val="left"/>
            </w:pPr>
            <w:r>
              <w:t xml:space="preserve">2013–14</w:t>
            </w:r>
          </w:p>
        </w:tc>
        <w:tc>
          <w:tcPr/>
          <w:p>
            <w:pPr>
              <w:pStyle w:val="Compact"/>
              <w:jc w:val="right"/>
            </w:pPr>
            <w:r>
              <w:t xml:space="preserve">3.5</w:t>
            </w:r>
          </w:p>
        </w:tc>
        <w:tc>
          <w:tcPr/>
          <w:p>
            <w:pPr>
              <w:pStyle w:val="Compact"/>
              <w:jc w:val="right"/>
            </w:pPr>
            <w:r>
              <w:t xml:space="preserve">2.6</w:t>
            </w:r>
          </w:p>
        </w:tc>
        <w:tc>
          <w:tcPr/>
          <w:p>
            <w:pPr>
              <w:pStyle w:val="Compact"/>
              <w:jc w:val="left"/>
            </w:pPr>
            <w:r>
              <w:t xml:space="preserve">Above trend</w:t>
            </w:r>
          </w:p>
        </w:tc>
      </w:tr>
      <w:tr>
        <w:tc>
          <w:tcPr/>
          <w:p>
            <w:pPr>
              <w:pStyle w:val="Compact"/>
              <w:jc w:val="left"/>
            </w:pPr>
            <w:r>
              <w:t xml:space="preserve">2014–15</w:t>
            </w:r>
          </w:p>
        </w:tc>
        <w:tc>
          <w:tcPr/>
          <w:p>
            <w:pPr>
              <w:pStyle w:val="Compact"/>
              <w:jc w:val="right"/>
            </w:pPr>
            <w:r>
              <w:t xml:space="preserve">~2.0</w:t>
            </w:r>
          </w:p>
        </w:tc>
        <w:tc>
          <w:tcPr/>
          <w:p>
            <w:pPr>
              <w:pStyle w:val="Compact"/>
              <w:jc w:val="right"/>
            </w:pPr>
            <w:r>
              <w:t xml:space="preserve">2.3</w:t>
            </w:r>
          </w:p>
        </w:tc>
        <w:tc>
          <w:tcPr/>
          <w:p>
            <w:pPr>
              <w:pStyle w:val="Compact"/>
              <w:jc w:val="left"/>
            </w:pPr>
            <w:r>
              <w:t xml:space="preserve">Mining downturn begins</w:t>
            </w:r>
          </w:p>
        </w:tc>
      </w:tr>
      <w:tr>
        <w:tc>
          <w:tcPr/>
          <w:p>
            <w:pPr>
              <w:pStyle w:val="Compact"/>
              <w:jc w:val="left"/>
            </w:pPr>
            <w:r>
              <w:t xml:space="preserve">2015–16</w:t>
            </w:r>
          </w:p>
        </w:tc>
        <w:tc>
          <w:tcPr/>
          <w:p>
            <w:pPr>
              <w:pStyle w:val="Compact"/>
              <w:jc w:val="right"/>
            </w:pPr>
            <w:r>
              <w:t xml:space="preserve">~2.0</w:t>
            </w:r>
          </w:p>
        </w:tc>
        <w:tc>
          <w:tcPr/>
          <w:p>
            <w:pPr>
              <w:pStyle w:val="Compact"/>
              <w:jc w:val="right"/>
            </w:pPr>
            <w:r>
              <w:t xml:space="preserve">2.8</w:t>
            </w:r>
          </w:p>
        </w:tc>
        <w:tc>
          <w:tcPr/>
          <w:p>
            <w:pPr>
              <w:pStyle w:val="Compact"/>
              <w:jc w:val="left"/>
            </w:pPr>
            <w:r>
              <w:t xml:space="preserve">Below long-run average</w:t>
            </w:r>
          </w:p>
        </w:tc>
      </w:tr>
      <w:tr>
        <w:tc>
          <w:tcPr/>
          <w:p>
            <w:pPr>
              <w:pStyle w:val="Compact"/>
              <w:jc w:val="left"/>
            </w:pPr>
            <w:r>
              <w:t xml:space="preserve">2016–17</w:t>
            </w:r>
          </w:p>
        </w:tc>
        <w:tc>
          <w:tcPr/>
          <w:p>
            <w:pPr>
              <w:pStyle w:val="Compact"/>
              <w:jc w:val="right"/>
            </w:pPr>
            <w:r>
              <w:t xml:space="preserve">~3.5</w:t>
            </w:r>
          </w:p>
        </w:tc>
        <w:tc>
          <w:tcPr/>
          <w:p>
            <w:pPr>
              <w:pStyle w:val="Compact"/>
              <w:jc w:val="right"/>
            </w:pPr>
            <w:r>
              <w:t xml:space="preserve">2.4</w:t>
            </w:r>
          </w:p>
        </w:tc>
        <w:tc>
          <w:tcPr/>
          <w:p>
            <w:pPr>
              <w:pStyle w:val="Compact"/>
              <w:jc w:val="left"/>
            </w:pPr>
            <w:r>
              <w:t xml:space="preserve">Coal price recovery (real GSI +7.5%)</w:t>
            </w:r>
          </w:p>
        </w:tc>
      </w:tr>
      <w:tr>
        <w:tc>
          <w:tcPr/>
          <w:p>
            <w:pPr>
              <w:pStyle w:val="Compact"/>
              <w:jc w:val="left"/>
            </w:pPr>
            <w:r>
              <w:t xml:space="preserve">2017–18</w:t>
            </w:r>
          </w:p>
        </w:tc>
        <w:tc>
          <w:tcPr/>
          <w:p>
            <w:pPr>
              <w:pStyle w:val="Compact"/>
              <w:jc w:val="right"/>
            </w:pPr>
            <w:r>
              <w:t xml:space="preserve">~3.0</w:t>
            </w:r>
          </w:p>
        </w:tc>
        <w:tc>
          <w:tcPr/>
          <w:p>
            <w:pPr>
              <w:pStyle w:val="Compact"/>
              <w:jc w:val="right"/>
            </w:pPr>
            <w:r>
              <w:t xml:space="preserve">2.8</w:t>
            </w:r>
          </w:p>
        </w:tc>
        <w:tc>
          <w:tcPr/>
          <w:p>
            <w:pPr>
              <w:pStyle w:val="Compact"/>
              <w:jc w:val="left"/>
            </w:pPr>
            <w:r>
              <w:t xml:space="preserve">Solid growth</w:t>
            </w:r>
          </w:p>
        </w:tc>
      </w:tr>
      <w:tr>
        <w:tc>
          <w:tcPr/>
          <w:p>
            <w:pPr>
              <w:pStyle w:val="Compact"/>
              <w:jc w:val="left"/>
            </w:pPr>
            <w:r>
              <w:t xml:space="preserve">2018–19</w:t>
            </w:r>
          </w:p>
        </w:tc>
        <w:tc>
          <w:tcPr/>
          <w:p>
            <w:pPr>
              <w:pStyle w:val="Compact"/>
              <w:jc w:val="right"/>
            </w:pPr>
            <w:r>
              <w:t xml:space="preserve">~2.0</w:t>
            </w:r>
          </w:p>
        </w:tc>
        <w:tc>
          <w:tcPr/>
          <w:p>
            <w:pPr>
              <w:pStyle w:val="Compact"/>
              <w:jc w:val="right"/>
            </w:pPr>
            <w:r>
              <w:t xml:space="preserve">1.9</w:t>
            </w:r>
          </w:p>
        </w:tc>
        <w:tc>
          <w:tcPr/>
          <w:p>
            <w:pPr>
              <w:pStyle w:val="Compact"/>
              <w:jc w:val="left"/>
            </w:pPr>
            <w:r>
              <w:t xml:space="preserve">Slowdown</w:t>
            </w:r>
          </w:p>
        </w:tc>
      </w:tr>
      <w:tr>
        <w:tc>
          <w:tcPr/>
          <w:p>
            <w:pPr>
              <w:pStyle w:val="Compact"/>
              <w:jc w:val="left"/>
            </w:pPr>
            <w:r>
              <w:t xml:space="preserve">2019–20</w:t>
            </w:r>
          </w:p>
        </w:tc>
        <w:tc>
          <w:tcPr/>
          <w:p>
            <w:pPr>
              <w:pStyle w:val="Compact"/>
              <w:jc w:val="right"/>
            </w:pPr>
            <w:r>
              <w:t xml:space="preserve">-1.1</w:t>
            </w:r>
          </w:p>
        </w:tc>
        <w:tc>
          <w:tcPr/>
          <w:p>
            <w:pPr>
              <w:pStyle w:val="Compact"/>
              <w:jc w:val="right"/>
            </w:pPr>
            <w:r>
              <w:t xml:space="preserve">-0.3</w:t>
            </w:r>
          </w:p>
        </w:tc>
        <w:tc>
          <w:tcPr/>
          <w:p>
            <w:pPr>
              <w:pStyle w:val="Compact"/>
              <w:jc w:val="left"/>
            </w:pPr>
            <w:r>
              <w:t xml:space="preserve">COVID-19 contraction</w:t>
            </w:r>
          </w:p>
        </w:tc>
      </w:tr>
      <w:tr>
        <w:tc>
          <w:tcPr/>
          <w:p>
            <w:pPr>
              <w:pStyle w:val="Compact"/>
              <w:jc w:val="left"/>
            </w:pPr>
            <w:r>
              <w:t xml:space="preserve">2020–21</w:t>
            </w:r>
          </w:p>
        </w:tc>
        <w:tc>
          <w:tcPr/>
          <w:p>
            <w:pPr>
              <w:pStyle w:val="Compact"/>
              <w:jc w:val="right"/>
            </w:pPr>
            <w:r>
              <w:t xml:space="preserve">2.8</w:t>
            </w:r>
          </w:p>
        </w:tc>
        <w:tc>
          <w:tcPr/>
          <w:p>
            <w:pPr>
              <w:pStyle w:val="Compact"/>
              <w:jc w:val="right"/>
            </w:pPr>
            <w:r>
              <w:t xml:space="preserve">1.3</w:t>
            </w:r>
          </w:p>
        </w:tc>
        <w:tc>
          <w:tcPr/>
          <w:p>
            <w:pPr>
              <w:pStyle w:val="Compact"/>
              <w:jc w:val="left"/>
            </w:pPr>
            <w:r>
              <w:t xml:space="preserve">Recovery</w:t>
            </w:r>
          </w:p>
        </w:tc>
      </w:tr>
      <w:tr>
        <w:tc>
          <w:tcPr/>
          <w:p>
            <w:pPr>
              <w:pStyle w:val="Compact"/>
              <w:jc w:val="left"/>
            </w:pPr>
            <w:r>
              <w:t xml:space="preserve">2021–22</w:t>
            </w:r>
          </w:p>
        </w:tc>
        <w:tc>
          <w:tcPr/>
          <w:p>
            <w:pPr>
              <w:pStyle w:val="Compact"/>
              <w:jc w:val="right"/>
            </w:pPr>
            <w:r>
              <w:t xml:space="preserve">5.5</w:t>
            </w:r>
          </w:p>
        </w:tc>
        <w:tc>
          <w:tcPr/>
          <w:p>
            <w:pPr>
              <w:pStyle w:val="Compact"/>
              <w:jc w:val="right"/>
            </w:pPr>
            <w:r>
              <w:t xml:space="preserve">3.7</w:t>
            </w:r>
          </w:p>
        </w:tc>
        <w:tc>
          <w:tcPr/>
          <w:p>
            <w:pPr>
              <w:pStyle w:val="Compact"/>
              <w:jc w:val="left"/>
            </w:pPr>
            <w:r>
              <w:t xml:space="preserve">Strong recovery + commodity prices</w:t>
            </w:r>
          </w:p>
        </w:tc>
      </w:tr>
      <w:tr>
        <w:tc>
          <w:tcPr/>
          <w:p>
            <w:pPr>
              <w:pStyle w:val="Compact"/>
              <w:jc w:val="left"/>
            </w:pPr>
            <w:r>
              <w:t xml:space="preserve">2022–23</w:t>
            </w:r>
          </w:p>
        </w:tc>
        <w:tc>
          <w:tcPr/>
          <w:p>
            <w:pPr>
              <w:pStyle w:val="Compact"/>
              <w:jc w:val="right"/>
            </w:pPr>
            <w:r>
              <w:t xml:space="preserve">2.3</w:t>
            </w:r>
          </w:p>
        </w:tc>
        <w:tc>
          <w:tcPr/>
          <w:p>
            <w:pPr>
              <w:pStyle w:val="Compact"/>
              <w:jc w:val="right"/>
            </w:pPr>
            <w:r>
              <w:t xml:space="preserve">2.1</w:t>
            </w:r>
          </w:p>
        </w:tc>
        <w:tc>
          <w:tcPr/>
          <w:p>
            <w:pPr>
              <w:pStyle w:val="Compact"/>
              <w:jc w:val="left"/>
            </w:pPr>
            <w:r>
              <w:t xml:space="preserve">Normalisation</w:t>
            </w:r>
          </w:p>
        </w:tc>
      </w:tr>
      <w:tr>
        <w:tc>
          <w:tcPr/>
          <w:p>
            <w:pPr>
              <w:pStyle w:val="Compact"/>
              <w:jc w:val="left"/>
            </w:pPr>
            <w:r>
              <w:t xml:space="preserve">2023–24</w:t>
            </w:r>
          </w:p>
        </w:tc>
        <w:tc>
          <w:tcPr/>
          <w:p>
            <w:pPr>
              <w:pStyle w:val="Compact"/>
              <w:jc w:val="right"/>
            </w:pPr>
            <w:r>
              <w:t xml:space="preserve">1.7</w:t>
            </w:r>
          </w:p>
        </w:tc>
        <w:tc>
          <w:tcPr/>
          <w:p>
            <w:pPr>
              <w:pStyle w:val="Compact"/>
              <w:jc w:val="right"/>
            </w:pPr>
            <w:r>
              <w:t xml:space="preserve">1.5</w:t>
            </w:r>
          </w:p>
        </w:tc>
        <w:tc>
          <w:tcPr/>
          <w:p>
            <w:pPr>
              <w:pStyle w:val="Compact"/>
              <w:jc w:val="left"/>
            </w:pPr>
            <w:r>
              <w:t xml:space="preserve">Below trend</w:t>
            </w:r>
          </w:p>
        </w:tc>
      </w:tr>
      <w:tr>
        <w:tc>
          <w:tcPr/>
          <w:p>
            <w:pPr>
              <w:pStyle w:val="Compact"/>
              <w:jc w:val="left"/>
            </w:pPr>
            <w:r>
              <w:t xml:space="preserve">2024–25</w:t>
            </w:r>
          </w:p>
        </w:tc>
        <w:tc>
          <w:tcPr/>
          <w:p>
            <w:pPr>
              <w:pStyle w:val="Compact"/>
              <w:jc w:val="right"/>
            </w:pPr>
            <w:r>
              <w:t xml:space="preserve">2.2</w:t>
            </w:r>
          </w:p>
        </w:tc>
        <w:tc>
          <w:tcPr/>
          <w:p>
            <w:pPr>
              <w:pStyle w:val="Compact"/>
              <w:jc w:val="right"/>
            </w:pPr>
            <w:r>
              <w:t xml:space="preserve">1.4</w:t>
            </w:r>
          </w:p>
        </w:tc>
        <w:tc>
          <w:tcPr/>
          <w:p>
            <w:pPr>
              <w:pStyle w:val="Compact"/>
              <w:jc w:val="left"/>
            </w:pPr>
            <w:r>
              <w:t xml:space="preserve">QLD outperforms national</w:t>
            </w:r>
          </w:p>
        </w:tc>
      </w:tr>
    </w:tbl>
    <w:p>
      <w:pPr>
        <w:pStyle w:val="BodyText"/>
      </w:pPr>
      <w:r>
        <w:rPr>
          <w:i/>
          <w:iCs/>
        </w:rPr>
        <w:t xml:space="preserve">Source: ABS State Accounts 2024–25; DFAT QLD Country Economic Fact Sheet; QLD Budget 2025–26 BP2; RBA Bulletin (March 2015, March 2017). Tilde (~) indicates author estimates based on reported averages and context; confirmed data points are 2010–11, 2013–14, 2019–20 to 2024–25.</w:t>
      </w:r>
    </w:p>
    <w:p>
      <w:pPr>
        <w:pStyle w:val="BodyText"/>
      </w:pPr>
      <w:r>
        <w:rPr>
          <w:b/>
          <w:bCs/>
        </w:rPr>
        <w:t xml:space="preserve">Key observations:</w:t>
      </w:r>
    </w:p>
    <w:p>
      <w:pPr>
        <w:pStyle w:val="Compact"/>
        <w:numPr>
          <w:ilvl w:val="0"/>
          <w:numId w:val="1001"/>
        </w:numPr>
      </w:pPr>
      <w:r>
        <w:t xml:space="preserve">Queensland’s long-run average real GSP growth is approximately 3.0–3.5 per cent per annum (2004–2024).</w:t>
      </w:r>
    </w:p>
    <w:p>
      <w:pPr>
        <w:pStyle w:val="Compact"/>
        <w:numPr>
          <w:ilvl w:val="0"/>
          <w:numId w:val="1001"/>
        </w:numPr>
      </w:pPr>
      <w:r>
        <w:t xml:space="preserve">The 2010–11 flood/cyclone year reduced growth to just 0.2 per cent — approximately 2 percentage points below trend, implying a direct disaster impact on GSP of roughly $5–6 billion in foregone output.</w:t>
      </w:r>
    </w:p>
    <w:p>
      <w:pPr>
        <w:pStyle w:val="Compact"/>
        <w:numPr>
          <w:ilvl w:val="0"/>
          <w:numId w:val="1001"/>
        </w:numPr>
      </w:pPr>
      <w:r>
        <w:t xml:space="preserve">The 2024–25 result of 2.2 per cent made Queensland the second-fastest growing state economy (behind the ACT at 3.5 per cent), substantially above the national 1.4 per cent.</w:t>
      </w:r>
    </w:p>
    <w:p>
      <w:pPr>
        <w:pStyle w:val="Compact"/>
        <w:numPr>
          <w:ilvl w:val="0"/>
          <w:numId w:val="1001"/>
        </w:numPr>
      </w:pPr>
      <w:r>
        <w:t xml:space="preserve">Queensland was one of only three jurisdictions (with ACT and Tasmania) where GSP grew faster than population in 2024–25.</w:t>
      </w:r>
    </w:p>
    <w:p>
      <w:pPr>
        <w:pStyle w:val="FirstParagraph"/>
      </w:pPr>
      <w:r>
        <w:rPr>
          <w:b/>
          <w:bCs/>
        </w:rPr>
        <w:t xml:space="preserve">QLD Budget forecasts (2025–26 Budget Paper No. 2):</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Year</w:t>
            </w:r>
          </w:p>
        </w:tc>
        <w:tc>
          <w:tcPr/>
          <w:p>
            <w:pPr>
              <w:pStyle w:val="Compact"/>
              <w:jc w:val="right"/>
            </w:pPr>
            <w:r>
              <w:t xml:space="preserve">GSP Growth Forecast (%)</w:t>
            </w:r>
          </w:p>
        </w:tc>
      </w:tr>
      <w:tr>
        <w:tc>
          <w:tcPr/>
          <w:p>
            <w:pPr>
              <w:pStyle w:val="Compact"/>
              <w:jc w:val="left"/>
            </w:pPr>
            <w:r>
              <w:t xml:space="preserve">2025–26</w:t>
            </w:r>
          </w:p>
        </w:tc>
        <w:tc>
          <w:tcPr/>
          <w:p>
            <w:pPr>
              <w:pStyle w:val="Compact"/>
              <w:jc w:val="right"/>
            </w:pPr>
            <w:r>
              <w:t xml:space="preserve">2.75</w:t>
            </w:r>
          </w:p>
        </w:tc>
      </w:tr>
      <w:tr>
        <w:tc>
          <w:tcPr/>
          <w:p>
            <w:pPr>
              <w:pStyle w:val="Compact"/>
              <w:jc w:val="left"/>
            </w:pPr>
            <w:r>
              <w:t xml:space="preserve">2026–27</w:t>
            </w:r>
          </w:p>
        </w:tc>
        <w:tc>
          <w:tcPr/>
          <w:p>
            <w:pPr>
              <w:pStyle w:val="Compact"/>
              <w:jc w:val="right"/>
            </w:pPr>
            <w:r>
              <w:t xml:space="preserve">2.50</w:t>
            </w:r>
          </w:p>
        </w:tc>
      </w:tr>
      <w:tr>
        <w:tc>
          <w:tcPr/>
          <w:p>
            <w:pPr>
              <w:pStyle w:val="Compact"/>
              <w:jc w:val="left"/>
            </w:pPr>
            <w:r>
              <w:t xml:space="preserve">2027–28</w:t>
            </w:r>
          </w:p>
        </w:tc>
        <w:tc>
          <w:tcPr/>
          <w:p>
            <w:pPr>
              <w:pStyle w:val="Compact"/>
              <w:jc w:val="right"/>
            </w:pPr>
            <w:r>
              <w:t xml:space="preserve">2.50</w:t>
            </w:r>
          </w:p>
        </w:tc>
      </w:tr>
      <w:tr>
        <w:tc>
          <w:tcPr/>
          <w:p>
            <w:pPr>
              <w:pStyle w:val="Compact"/>
              <w:jc w:val="left"/>
            </w:pPr>
            <w:r>
              <w:t xml:space="preserve">2028–29</w:t>
            </w:r>
          </w:p>
        </w:tc>
        <w:tc>
          <w:tcPr/>
          <w:p>
            <w:pPr>
              <w:pStyle w:val="Compact"/>
              <w:jc w:val="right"/>
            </w:pPr>
            <w:r>
              <w:t xml:space="preserve">2.50</w:t>
            </w:r>
          </w:p>
        </w:tc>
      </w:tr>
    </w:tbl>
    <w:p>
      <w:pPr>
        <w:pStyle w:val="BodyText"/>
      </w:pPr>
      <w:r>
        <w:rPr>
          <w:i/>
          <w:iCs/>
        </w:rPr>
        <w:t xml:space="preserve">Source: QLD Budget 2025–26 Budget Strategy and Outlook.</w:t>
      </w:r>
    </w:p>
    <w:p>
      <w:r>
        <w:pict>
          <v:rect style="width:0;height:1.5pt" o:hralign="center" o:hrstd="t" o:hr="t"/>
        </w:pict>
      </w:r>
    </w:p>
    <w:bookmarkEnd w:id="21"/>
    <w:bookmarkEnd w:id="22"/>
    <w:bookmarkStart w:id="25" w:name="population-and-per-capita-gsp"/>
    <w:p>
      <w:pPr>
        <w:pStyle w:val="Heading2"/>
      </w:pPr>
      <w:r>
        <w:t xml:space="preserve">2. Population and Per Capita GSP</w:t>
      </w:r>
    </w:p>
    <w:bookmarkStart w:id="23" w:name="queensland-population-time-series"/>
    <w:p>
      <w:pPr>
        <w:pStyle w:val="Heading3"/>
      </w:pPr>
      <w:r>
        <w:t xml:space="preserve">2.1 Queensland Population Time Series</w:t>
      </w:r>
    </w:p>
    <w:p>
      <w:pPr>
        <w:pStyle w:val="FirstParagraph"/>
      </w:pPr>
      <w:r>
        <w:rPr>
          <w:b/>
          <w:bCs/>
        </w:rPr>
        <w:t xml:space="preserve">Queensland estimated resident population, selected dates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left"/>
            </w:pPr>
            <w:r>
              <w:t xml:space="preserve">Date</w:t>
            </w:r>
          </w:p>
        </w:tc>
        <w:tc>
          <w:tcPr/>
          <w:p>
            <w:pPr>
              <w:pStyle w:val="Compact"/>
              <w:jc w:val="right"/>
            </w:pPr>
            <w:r>
              <w:t xml:space="preserve">Population</w:t>
            </w:r>
          </w:p>
        </w:tc>
        <w:tc>
          <w:tcPr/>
          <w:p>
            <w:pPr>
              <w:pStyle w:val="Compact"/>
              <w:jc w:val="right"/>
            </w:pPr>
            <w:r>
              <w:t xml:space="preserve">Annual Growth (%)</w:t>
            </w:r>
          </w:p>
        </w:tc>
        <w:tc>
          <w:tcPr/>
          <w:p>
            <w:pPr>
              <w:pStyle w:val="Compact"/>
              <w:jc w:val="right"/>
            </w:pPr>
            <w:r>
              <w:t xml:space="preserve">QLD Share of National (%)</w:t>
            </w:r>
          </w:p>
        </w:tc>
      </w:tr>
      <w:tr>
        <w:tc>
          <w:tcPr/>
          <w:p>
            <w:pPr>
              <w:pStyle w:val="Compact"/>
              <w:jc w:val="left"/>
            </w:pPr>
            <w:r>
              <w:t xml:space="preserve">June 2010</w:t>
            </w:r>
          </w:p>
        </w:tc>
        <w:tc>
          <w:tcPr/>
          <w:p>
            <w:pPr>
              <w:pStyle w:val="Compact"/>
              <w:jc w:val="right"/>
            </w:pPr>
            <w:r>
              <w:t xml:space="preserve">4,513,000</w:t>
            </w:r>
          </w:p>
        </w:tc>
        <w:tc>
          <w:tcPr/>
          <w:p>
            <w:pPr>
              <w:pStyle w:val="Compact"/>
              <w:jc w:val="right"/>
            </w:pPr>
            <w:r>
              <w:t xml:space="preserve">2.1</w:t>
            </w:r>
          </w:p>
        </w:tc>
        <w:tc>
          <w:tcPr/>
          <w:p>
            <w:pPr>
              <w:pStyle w:val="Compact"/>
              <w:jc w:val="right"/>
            </w:pPr>
            <w:r>
              <w:t xml:space="preserve">~20.0</w:t>
            </w:r>
          </w:p>
        </w:tc>
      </w:tr>
      <w:tr>
        <w:tc>
          <w:tcPr/>
          <w:p>
            <w:pPr>
              <w:pStyle w:val="Compact"/>
              <w:jc w:val="left"/>
            </w:pPr>
            <w:r>
              <w:t xml:space="preserve">June 2012</w:t>
            </w:r>
          </w:p>
        </w:tc>
        <w:tc>
          <w:tcPr/>
          <w:p>
            <w:pPr>
              <w:pStyle w:val="Compact"/>
              <w:jc w:val="right"/>
            </w:pPr>
            <w:r>
              <w:t xml:space="preserve">~4,600,000</w:t>
            </w:r>
          </w:p>
        </w:tc>
        <w:tc>
          <w:tcPr/>
          <w:p>
            <w:pPr>
              <w:pStyle w:val="Compact"/>
              <w:jc w:val="right"/>
            </w:pPr>
            <w:r>
              <w:t xml:space="preserve">~1.9</w:t>
            </w:r>
          </w:p>
        </w:tc>
        <w:tc>
          <w:tcPr/>
          <w:p>
            <w:pPr>
              <w:pStyle w:val="Compact"/>
              <w:jc w:val="right"/>
            </w:pPr>
            <w:r>
              <w:t xml:space="preserve">~20.1</w:t>
            </w:r>
          </w:p>
        </w:tc>
      </w:tr>
      <w:tr>
        <w:tc>
          <w:tcPr/>
          <w:p>
            <w:pPr>
              <w:pStyle w:val="Compact"/>
              <w:jc w:val="left"/>
            </w:pPr>
            <w:r>
              <w:t xml:space="preserve">June 2013</w:t>
            </w:r>
          </w:p>
        </w:tc>
        <w:tc>
          <w:tcPr/>
          <w:p>
            <w:pPr>
              <w:pStyle w:val="Compact"/>
              <w:jc w:val="right"/>
            </w:pPr>
            <w:r>
              <w:t xml:space="preserve">4,660,000</w:t>
            </w:r>
          </w:p>
        </w:tc>
        <w:tc>
          <w:tcPr/>
          <w:p>
            <w:pPr>
              <w:pStyle w:val="Compact"/>
              <w:jc w:val="right"/>
            </w:pPr>
            <w:r>
              <w:t xml:space="preserve">1.9</w:t>
            </w:r>
          </w:p>
        </w:tc>
        <w:tc>
          <w:tcPr/>
          <w:p>
            <w:pPr>
              <w:pStyle w:val="Compact"/>
              <w:jc w:val="right"/>
            </w:pPr>
            <w:r>
              <w:t xml:space="preserve">~20.2</w:t>
            </w:r>
          </w:p>
        </w:tc>
      </w:tr>
      <w:tr>
        <w:tc>
          <w:tcPr/>
          <w:p>
            <w:pPr>
              <w:pStyle w:val="Compact"/>
              <w:jc w:val="left"/>
            </w:pPr>
            <w:r>
              <w:t xml:space="preserve">June 2015</w:t>
            </w:r>
          </w:p>
        </w:tc>
        <w:tc>
          <w:tcPr/>
          <w:p>
            <w:pPr>
              <w:pStyle w:val="Compact"/>
              <w:jc w:val="right"/>
            </w:pPr>
            <w:r>
              <w:t xml:space="preserve">~4,780,000</w:t>
            </w:r>
          </w:p>
        </w:tc>
        <w:tc>
          <w:tcPr/>
          <w:p>
            <w:pPr>
              <w:pStyle w:val="Compact"/>
              <w:jc w:val="right"/>
            </w:pPr>
            <w:r>
              <w:t xml:space="preserve">~1.3</w:t>
            </w:r>
          </w:p>
        </w:tc>
        <w:tc>
          <w:tcPr/>
          <w:p>
            <w:pPr>
              <w:pStyle w:val="Compact"/>
              <w:jc w:val="right"/>
            </w:pPr>
            <w:r>
              <w:t xml:space="preserve">~20.2</w:t>
            </w:r>
          </w:p>
        </w:tc>
      </w:tr>
      <w:tr>
        <w:tc>
          <w:tcPr/>
          <w:p>
            <w:pPr>
              <w:pStyle w:val="Compact"/>
              <w:jc w:val="left"/>
            </w:pPr>
            <w:r>
              <w:t xml:space="preserve">June 2018</w:t>
            </w:r>
          </w:p>
        </w:tc>
        <w:tc>
          <w:tcPr/>
          <w:p>
            <w:pPr>
              <w:pStyle w:val="Compact"/>
              <w:jc w:val="right"/>
            </w:pPr>
            <w:r>
              <w:t xml:space="preserve">~5,000,000</w:t>
            </w:r>
          </w:p>
        </w:tc>
        <w:tc>
          <w:tcPr/>
          <w:p>
            <w:pPr>
              <w:pStyle w:val="Compact"/>
              <w:jc w:val="right"/>
            </w:pPr>
            <w:r>
              <w:t xml:space="preserve">~1.7</w:t>
            </w:r>
          </w:p>
        </w:tc>
        <w:tc>
          <w:tcPr/>
          <w:p>
            <w:pPr>
              <w:pStyle w:val="Compact"/>
              <w:jc w:val="right"/>
            </w:pPr>
            <w:r>
              <w:t xml:space="preserve">~20.3</w:t>
            </w:r>
          </w:p>
        </w:tc>
      </w:tr>
      <w:tr>
        <w:tc>
          <w:tcPr/>
          <w:p>
            <w:pPr>
              <w:pStyle w:val="Compact"/>
              <w:jc w:val="left"/>
            </w:pPr>
            <w:r>
              <w:t xml:space="preserve">June 2020</w:t>
            </w:r>
          </w:p>
        </w:tc>
        <w:tc>
          <w:tcPr/>
          <w:p>
            <w:pPr>
              <w:pStyle w:val="Compact"/>
              <w:jc w:val="right"/>
            </w:pPr>
            <w:r>
              <w:t xml:space="preserve">~5,090,000</w:t>
            </w:r>
          </w:p>
        </w:tc>
        <w:tc>
          <w:tcPr/>
          <w:p>
            <w:pPr>
              <w:pStyle w:val="Compact"/>
              <w:jc w:val="right"/>
            </w:pPr>
            <w:r>
              <w:t xml:space="preserve">~0.9</w:t>
            </w:r>
          </w:p>
        </w:tc>
        <w:tc>
          <w:tcPr/>
          <w:p>
            <w:pPr>
              <w:pStyle w:val="Compact"/>
              <w:jc w:val="right"/>
            </w:pPr>
            <w:r>
              <w:t xml:space="preserve">~20.3</w:t>
            </w:r>
          </w:p>
        </w:tc>
      </w:tr>
      <w:tr>
        <w:tc>
          <w:tcPr/>
          <w:p>
            <w:pPr>
              <w:pStyle w:val="Compact"/>
              <w:jc w:val="left"/>
            </w:pPr>
            <w:r>
              <w:t xml:space="preserve">June 2022</w:t>
            </w:r>
          </w:p>
        </w:tc>
        <w:tc>
          <w:tcPr/>
          <w:p>
            <w:pPr>
              <w:pStyle w:val="Compact"/>
              <w:jc w:val="right"/>
            </w:pPr>
            <w:r>
              <w:t xml:space="preserve">~5,320,000</w:t>
            </w:r>
          </w:p>
        </w:tc>
        <w:tc>
          <w:tcPr/>
          <w:p>
            <w:pPr>
              <w:pStyle w:val="Compact"/>
              <w:jc w:val="right"/>
            </w:pPr>
            <w:r>
              <w:t xml:space="preserve">~2.3</w:t>
            </w:r>
          </w:p>
        </w:tc>
        <w:tc>
          <w:tcPr/>
          <w:p>
            <w:pPr>
              <w:pStyle w:val="Compact"/>
              <w:jc w:val="right"/>
            </w:pPr>
            <w:r>
              <w:t xml:space="preserve">~20.5</w:t>
            </w:r>
          </w:p>
        </w:tc>
      </w:tr>
      <w:tr>
        <w:tc>
          <w:tcPr/>
          <w:p>
            <w:pPr>
              <w:pStyle w:val="Compact"/>
              <w:jc w:val="left"/>
            </w:pPr>
            <w:r>
              <w:t xml:space="preserve">Dec 2023</w:t>
            </w:r>
          </w:p>
        </w:tc>
        <w:tc>
          <w:tcPr/>
          <w:p>
            <w:pPr>
              <w:pStyle w:val="Compact"/>
              <w:jc w:val="right"/>
            </w:pPr>
            <w:r>
              <w:t xml:space="preserve">5,516,476</w:t>
            </w:r>
          </w:p>
        </w:tc>
        <w:tc>
          <w:tcPr/>
          <w:p>
            <w:pPr>
              <w:pStyle w:val="Compact"/>
              <w:jc w:val="right"/>
            </w:pPr>
            <w:r>
              <w:t xml:space="preserve">—</w:t>
            </w:r>
          </w:p>
        </w:tc>
        <w:tc>
          <w:tcPr/>
          <w:p>
            <w:pPr>
              <w:pStyle w:val="Compact"/>
              <w:jc w:val="right"/>
            </w:pPr>
            <w:r>
              <w:t xml:space="preserve">~20.5</w:t>
            </w:r>
          </w:p>
        </w:tc>
      </w:tr>
      <w:tr>
        <w:tc>
          <w:tcPr/>
          <w:p>
            <w:pPr>
              <w:pStyle w:val="Compact"/>
              <w:jc w:val="left"/>
            </w:pPr>
            <w:r>
              <w:t xml:space="preserve">June 2024</w:t>
            </w:r>
          </w:p>
        </w:tc>
        <w:tc>
          <w:tcPr/>
          <w:p>
            <w:pPr>
              <w:pStyle w:val="Compact"/>
              <w:jc w:val="right"/>
            </w:pPr>
            <w:r>
              <w:t xml:space="preserve">5,583,833</w:t>
            </w:r>
          </w:p>
        </w:tc>
        <w:tc>
          <w:tcPr/>
          <w:p>
            <w:pPr>
              <w:pStyle w:val="Compact"/>
              <w:jc w:val="right"/>
            </w:pPr>
            <w:r>
              <w:t xml:space="preserve">2.3</w:t>
            </w:r>
          </w:p>
        </w:tc>
        <w:tc>
          <w:tcPr/>
          <w:p>
            <w:pPr>
              <w:pStyle w:val="Compact"/>
              <w:jc w:val="right"/>
            </w:pPr>
            <w:r>
              <w:t xml:space="preserve">20.5</w:t>
            </w:r>
          </w:p>
        </w:tc>
      </w:tr>
      <w:tr>
        <w:tc>
          <w:tcPr/>
          <w:p>
            <w:pPr>
              <w:pStyle w:val="Compact"/>
              <w:jc w:val="left"/>
            </w:pPr>
            <w:r>
              <w:t xml:space="preserve">Dec 2024</w:t>
            </w:r>
          </w:p>
        </w:tc>
        <w:tc>
          <w:tcPr/>
          <w:p>
            <w:pPr>
              <w:pStyle w:val="Compact"/>
              <w:jc w:val="right"/>
            </w:pPr>
            <w:r>
              <w:t xml:space="preserve">5,619,059</w:t>
            </w:r>
          </w:p>
        </w:tc>
        <w:tc>
          <w:tcPr/>
          <w:p>
            <w:pPr>
              <w:pStyle w:val="Compact"/>
              <w:jc w:val="right"/>
            </w:pPr>
            <w:r>
              <w:t xml:space="preserve">—</w:t>
            </w:r>
          </w:p>
        </w:tc>
        <w:tc>
          <w:tcPr/>
          <w:p>
            <w:pPr>
              <w:pStyle w:val="Compact"/>
              <w:jc w:val="right"/>
            </w:pPr>
            <w:r>
              <w:t xml:space="preserve">~20.5</w:t>
            </w:r>
          </w:p>
        </w:tc>
      </w:tr>
      <w:tr>
        <w:tc>
          <w:tcPr/>
          <w:p>
            <w:pPr>
              <w:pStyle w:val="Compact"/>
              <w:jc w:val="left"/>
            </w:pPr>
            <w:r>
              <w:t xml:space="preserve">June 2025</w:t>
            </w:r>
          </w:p>
        </w:tc>
        <w:tc>
          <w:tcPr/>
          <w:p>
            <w:pPr>
              <w:pStyle w:val="Compact"/>
              <w:jc w:val="right"/>
            </w:pPr>
            <w:r>
              <w:t xml:space="preserve">5,669,834</w:t>
            </w:r>
          </w:p>
        </w:tc>
        <w:tc>
          <w:tcPr/>
          <w:p>
            <w:pPr>
              <w:pStyle w:val="Compact"/>
              <w:jc w:val="right"/>
            </w:pPr>
            <w:r>
              <w:t xml:space="preserve">~1.7</w:t>
            </w:r>
          </w:p>
        </w:tc>
        <w:tc>
          <w:tcPr/>
          <w:p>
            <w:pPr>
              <w:pStyle w:val="Compact"/>
              <w:jc w:val="right"/>
            </w:pPr>
            <w:r>
              <w:t xml:space="preserve">~20.5</w:t>
            </w:r>
          </w:p>
        </w:tc>
      </w:tr>
    </w:tbl>
    <w:p>
      <w:pPr>
        <w:pStyle w:val="BodyText"/>
      </w:pPr>
      <w:r>
        <w:rPr>
          <w:i/>
          <w:iCs/>
        </w:rPr>
        <w:t xml:space="preserve">Source: ABS National, State and Territory Population (June 2025 release); DFAT QLD fact sheet; QGSO Population Estimates. Tilde indicates interpolated or rounded values. Queensland’s population grew 20.8% from 4.40M (2010) to 5.32M (2022). Five-year growth to June 2024 was 9.8% (+497,490 persons).</w:t>
      </w:r>
    </w:p>
    <w:bookmarkEnd w:id="23"/>
    <w:bookmarkStart w:id="24" w:name="gsp-per-capita"/>
    <w:p>
      <w:pPr>
        <w:pStyle w:val="Heading3"/>
      </w:pPr>
      <w:r>
        <w:t xml:space="preserve">2.2 GSP Per Capita</w:t>
      </w:r>
    </w:p>
    <w:p>
      <w:pPr>
        <w:pStyle w:val="FirstParagraph"/>
      </w:pPr>
      <w:r>
        <w:rPr>
          <w:b/>
          <w:bCs/>
        </w:rPr>
        <w:t xml:space="preserve">Queensland GSP per capita</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Financial Year</w:t>
            </w:r>
          </w:p>
        </w:tc>
        <w:tc>
          <w:tcPr/>
          <w:p>
            <w:pPr>
              <w:pStyle w:val="Compact"/>
              <w:jc w:val="right"/>
            </w:pPr>
            <w:r>
              <w:t xml:space="preserve">GSP per capita ($A)</w:t>
            </w:r>
          </w:p>
        </w:tc>
        <w:tc>
          <w:tcPr/>
          <w:p>
            <w:pPr>
              <w:pStyle w:val="Compact"/>
              <w:jc w:val="left"/>
            </w:pPr>
            <w:r>
              <w:t xml:space="preserve">Notes</w:t>
            </w:r>
          </w:p>
        </w:tc>
      </w:tr>
      <w:tr>
        <w:tc>
          <w:tcPr/>
          <w:p>
            <w:pPr>
              <w:pStyle w:val="Compact"/>
              <w:jc w:val="left"/>
            </w:pPr>
            <w:r>
              <w:t xml:space="preserve">2023–24</w:t>
            </w:r>
          </w:p>
        </w:tc>
        <w:tc>
          <w:tcPr/>
          <w:p>
            <w:pPr>
              <w:pStyle w:val="Compact"/>
              <w:jc w:val="right"/>
            </w:pPr>
            <w:r>
              <w:t xml:space="preserve">92,901</w:t>
            </w:r>
          </w:p>
        </w:tc>
        <w:tc>
          <w:tcPr/>
          <w:p>
            <w:pPr>
              <w:pStyle w:val="Compact"/>
              <w:jc w:val="left"/>
            </w:pPr>
            <w:r>
              <w:t xml:space="preserve">CEIC / ABS</w:t>
            </w:r>
          </w:p>
        </w:tc>
      </w:tr>
      <w:tr>
        <w:tc>
          <w:tcPr/>
          <w:p>
            <w:pPr>
              <w:pStyle w:val="Compact"/>
              <w:jc w:val="left"/>
            </w:pPr>
            <w:r>
              <w:t xml:space="preserve">2024–25</w:t>
            </w:r>
          </w:p>
        </w:tc>
        <w:tc>
          <w:tcPr/>
          <w:p>
            <w:pPr>
              <w:pStyle w:val="Compact"/>
              <w:jc w:val="right"/>
            </w:pPr>
            <w:r>
              <w:t xml:space="preserve">94,506</w:t>
            </w:r>
          </w:p>
        </w:tc>
        <w:tc>
          <w:tcPr/>
          <w:p>
            <w:pPr>
              <w:pStyle w:val="Compact"/>
              <w:jc w:val="left"/>
            </w:pPr>
            <w:r>
              <w:t xml:space="preserve">CEIC / ABS</w:t>
            </w:r>
          </w:p>
        </w:tc>
      </w:tr>
    </w:tbl>
    <w:p>
      <w:pPr>
        <w:pStyle w:val="BodyText"/>
      </w:pPr>
      <w:r>
        <w:rPr>
          <w:i/>
          <w:iCs/>
        </w:rPr>
        <w:t xml:space="preserve">Source: CEIC Data, citing ABS State Accounts.</w:t>
      </w:r>
    </w:p>
    <w:p>
      <w:pPr>
        <w:pStyle w:val="BodyText"/>
      </w:pPr>
      <w:r>
        <w:rPr>
          <w:b/>
          <w:bCs/>
        </w:rPr>
        <w:t xml:space="preserve">Comparison with other states (2024–25):</w:t>
      </w:r>
    </w:p>
    <w:p>
      <w:pPr>
        <w:pStyle w:val="Compact"/>
        <w:numPr>
          <w:ilvl w:val="0"/>
          <w:numId w:val="1002"/>
        </w:numPr>
      </w:pPr>
      <w:r>
        <w:t xml:space="preserve">Western Australia has the highest GSP per capita nationally, driven by mining output.</w:t>
      </w:r>
    </w:p>
    <w:p>
      <w:pPr>
        <w:pStyle w:val="Compact"/>
        <w:numPr>
          <w:ilvl w:val="0"/>
          <w:numId w:val="1002"/>
        </w:numPr>
      </w:pPr>
      <w:r>
        <w:t xml:space="preserve">Queensland’s per capita GSP is above the national average but below WA.</w:t>
      </w:r>
    </w:p>
    <w:p>
      <w:pPr>
        <w:pStyle w:val="Compact"/>
        <w:numPr>
          <w:ilvl w:val="0"/>
          <w:numId w:val="1002"/>
        </w:numPr>
      </w:pPr>
      <w:r>
        <w:t xml:space="preserve">Tasmania has the lowest per capita GSP (~$70,679 in 2023–24).</w:t>
      </w:r>
    </w:p>
    <w:p>
      <w:pPr>
        <w:pStyle w:val="Compact"/>
        <w:numPr>
          <w:ilvl w:val="0"/>
          <w:numId w:val="1002"/>
        </w:numPr>
      </w:pPr>
      <w:r>
        <w:t xml:space="preserve">In 2024–25, Queensland’s real GSP per head grew 0.4 per cent, following a decline of -0.8 per cent in 2023–24 (DFAT fact sheet).</w:t>
      </w:r>
    </w:p>
    <w:p>
      <w:r>
        <w:pict>
          <v:rect style="width:0;height:1.5pt" o:hralign="center" o:hrstd="t" o:hr="t"/>
        </w:pict>
      </w:r>
    </w:p>
    <w:bookmarkEnd w:id="24"/>
    <w:bookmarkEnd w:id="25"/>
    <w:bookmarkStart w:id="29" w:name="sectoral-composition-of-queensland-gsp"/>
    <w:p>
      <w:pPr>
        <w:pStyle w:val="Heading2"/>
      </w:pPr>
      <w:r>
        <w:t xml:space="preserve">3. Sectoral Composition of Queensland GSP</w:t>
      </w:r>
    </w:p>
    <w:bookmarkStart w:id="26" w:name="industry-gross-value-added-gva-202324"/>
    <w:p>
      <w:pPr>
        <w:pStyle w:val="Heading3"/>
      </w:pPr>
      <w:r>
        <w:t xml:space="preserve">3.1 Industry Gross Value Added (GVA), 2023–24</w:t>
      </w:r>
    </w:p>
    <w:p>
      <w:pPr>
        <w:pStyle w:val="FirstParagraph"/>
      </w:pPr>
      <w:r>
        <w:rPr>
          <w:b/>
          <w:bCs/>
        </w:rPr>
        <w:t xml:space="preserve">Queensland industry GVA, 2023–24 financial year</w:t>
      </w:r>
    </w:p>
    <w:tbl>
      <w:tblPr>
        <w:tblStyle w:val="Table"/>
        <w:tblW w:type="pct" w:w="5000"/>
        <w:tblLayout w:type="fixed"/>
        <w:tblLook w:firstRow="1" w:lastRow="0" w:firstColumn="0" w:lastColumn="0" w:noHBand="0" w:noVBand="0" w:val="0020"/>
      </w:tblPr>
      <w:tblGrid>
        <w:gridCol w:w="2475"/>
        <w:gridCol w:w="2722"/>
        <w:gridCol w:w="1485"/>
        <w:gridCol w:w="1237"/>
      </w:tblGrid>
      <w:tr>
        <w:trPr>
          <w:tblHeader w:val="on"/>
        </w:trPr>
        <w:tc>
          <w:tcPr/>
          <w:p>
            <w:pPr>
              <w:pStyle w:val="Compact"/>
              <w:jc w:val="left"/>
            </w:pPr>
            <w:r>
              <w:t xml:space="preserve">Industry</w:t>
            </w:r>
          </w:p>
        </w:tc>
        <w:tc>
          <w:tcPr/>
          <w:p>
            <w:pPr>
              <w:pStyle w:val="Compact"/>
              <w:jc w:val="right"/>
            </w:pPr>
            <w:r>
              <w:t xml:space="preserve">GVA ($B)</w:t>
            </w:r>
          </w:p>
        </w:tc>
        <w:tc>
          <w:tcPr/>
          <w:p>
            <w:pPr>
              <w:pStyle w:val="Compact"/>
              <w:jc w:val="right"/>
            </w:pPr>
            <w:r>
              <w:t xml:space="preserve">Share of Total GVA (%)</w:t>
            </w:r>
          </w:p>
        </w:tc>
        <w:tc>
          <w:tcPr/>
          <w:p>
            <w:pPr>
              <w:pStyle w:val="Compact"/>
              <w:jc w:val="center"/>
            </w:pPr>
            <w:r>
              <w:t xml:space="preserve">Climate Exposed?</w:t>
            </w:r>
          </w:p>
        </w:tc>
      </w:tr>
      <w:tr>
        <w:tc>
          <w:tcPr/>
          <w:p>
            <w:pPr>
              <w:pStyle w:val="Compact"/>
              <w:jc w:val="left"/>
            </w:pPr>
            <w:r>
              <w:t xml:space="preserve">Mining</w:t>
            </w:r>
          </w:p>
        </w:tc>
        <w:tc>
          <w:tcPr/>
          <w:p>
            <w:pPr>
              <w:pStyle w:val="Compact"/>
              <w:jc w:val="right"/>
            </w:pPr>
            <w:r>
              <w:t xml:space="preserve">61.6</w:t>
            </w:r>
          </w:p>
        </w:tc>
        <w:tc>
          <w:tcPr/>
          <w:p>
            <w:pPr>
              <w:pStyle w:val="Compact"/>
              <w:jc w:val="right"/>
            </w:pPr>
            <w:r>
              <w:t xml:space="preserve">12.9</w:t>
            </w:r>
          </w:p>
        </w:tc>
        <w:tc>
          <w:tcPr/>
          <w:p>
            <w:pPr>
              <w:pStyle w:val="Compact"/>
              <w:jc w:val="center"/>
            </w:pPr>
            <w:r>
              <w:t xml:space="preserve">Moderate</w:t>
            </w:r>
          </w:p>
        </w:tc>
      </w:tr>
      <w:tr>
        <w:tc>
          <w:tcPr/>
          <w:p>
            <w:pPr>
              <w:pStyle w:val="Compact"/>
              <w:jc w:val="left"/>
            </w:pPr>
            <w:r>
              <w:t xml:space="preserve">Health Care and Social Assistance</w:t>
            </w:r>
          </w:p>
        </w:tc>
        <w:tc>
          <w:tcPr/>
          <w:p>
            <w:pPr>
              <w:pStyle w:val="Compact"/>
              <w:jc w:val="right"/>
            </w:pPr>
            <w:r>
              <w:t xml:space="preserve">44.4</w:t>
            </w:r>
          </w:p>
        </w:tc>
        <w:tc>
          <w:tcPr/>
          <w:p>
            <w:pPr>
              <w:pStyle w:val="Compact"/>
              <w:jc w:val="right"/>
            </w:pPr>
            <w:r>
              <w:t xml:space="preserve">9.3</w:t>
            </w:r>
          </w:p>
        </w:tc>
        <w:tc>
          <w:tcPr/>
          <w:p>
            <w:pPr>
              <w:pStyle w:val="Compact"/>
              <w:jc w:val="center"/>
            </w:pPr>
            <w:r>
              <w:t xml:space="preserve">Low</w:t>
            </w:r>
          </w:p>
        </w:tc>
      </w:tr>
      <w:tr>
        <w:tc>
          <w:tcPr/>
          <w:p>
            <w:pPr>
              <w:pStyle w:val="Compact"/>
              <w:jc w:val="left"/>
            </w:pPr>
            <w:r>
              <w:t xml:space="preserve">Construction</w:t>
            </w:r>
          </w:p>
        </w:tc>
        <w:tc>
          <w:tcPr/>
          <w:p>
            <w:pPr>
              <w:pStyle w:val="Compact"/>
              <w:jc w:val="right"/>
            </w:pPr>
            <w:r>
              <w:t xml:space="preserve">37.6</w:t>
            </w:r>
          </w:p>
        </w:tc>
        <w:tc>
          <w:tcPr/>
          <w:p>
            <w:pPr>
              <w:pStyle w:val="Compact"/>
              <w:jc w:val="right"/>
            </w:pPr>
            <w:r>
              <w:t xml:space="preserve">7.9</w:t>
            </w:r>
          </w:p>
        </w:tc>
        <w:tc>
          <w:tcPr/>
          <w:p>
            <w:pPr>
              <w:pStyle w:val="Compact"/>
              <w:jc w:val="center"/>
            </w:pPr>
            <w:r>
              <w:t xml:space="preserve">High</w:t>
            </w:r>
          </w:p>
        </w:tc>
      </w:tr>
      <w:tr>
        <w:tc>
          <w:tcPr/>
          <w:p>
            <w:pPr>
              <w:pStyle w:val="Compact"/>
              <w:jc w:val="left"/>
            </w:pPr>
            <w:r>
              <w:t xml:space="preserve">Professional, Scientific and Technical Services</w:t>
            </w:r>
          </w:p>
        </w:tc>
        <w:tc>
          <w:tcPr/>
          <w:p>
            <w:pPr>
              <w:pStyle w:val="Compact"/>
              <w:jc w:val="right"/>
            </w:pPr>
            <w:r>
              <w:t xml:space="preserve">~28.0</w:t>
            </w:r>
          </w:p>
        </w:tc>
        <w:tc>
          <w:tcPr/>
          <w:p>
            <w:pPr>
              <w:pStyle w:val="Compact"/>
              <w:jc w:val="right"/>
            </w:pPr>
            <w:r>
              <w:t xml:space="preserve">~5.9</w:t>
            </w:r>
          </w:p>
        </w:tc>
        <w:tc>
          <w:tcPr/>
          <w:p>
            <w:pPr>
              <w:pStyle w:val="Compact"/>
              <w:jc w:val="center"/>
            </w:pPr>
            <w:r>
              <w:t xml:space="preserve">Low</w:t>
            </w:r>
          </w:p>
        </w:tc>
      </w:tr>
      <w:tr>
        <w:tc>
          <w:tcPr/>
          <w:p>
            <w:pPr>
              <w:pStyle w:val="Compact"/>
              <w:jc w:val="left"/>
            </w:pPr>
            <w:r>
              <w:t xml:space="preserve">Financial and Insurance Services</w:t>
            </w:r>
          </w:p>
        </w:tc>
        <w:tc>
          <w:tcPr/>
          <w:p>
            <w:pPr>
              <w:pStyle w:val="Compact"/>
              <w:jc w:val="right"/>
            </w:pPr>
            <w:r>
              <w:t xml:space="preserve">~29.0</w:t>
            </w:r>
          </w:p>
        </w:tc>
        <w:tc>
          <w:tcPr/>
          <w:p>
            <w:pPr>
              <w:pStyle w:val="Compact"/>
              <w:jc w:val="right"/>
            </w:pPr>
            <w:r>
              <w:t xml:space="preserve">~6.1</w:t>
            </w:r>
          </w:p>
        </w:tc>
        <w:tc>
          <w:tcPr/>
          <w:p>
            <w:pPr>
              <w:pStyle w:val="Compact"/>
              <w:jc w:val="center"/>
            </w:pPr>
            <w:r>
              <w:t xml:space="preserve">Moderate</w:t>
            </w:r>
          </w:p>
        </w:tc>
      </w:tr>
      <w:tr>
        <w:tc>
          <w:tcPr/>
          <w:p>
            <w:pPr>
              <w:pStyle w:val="Compact"/>
              <w:jc w:val="left"/>
            </w:pPr>
            <w:r>
              <w:t xml:space="preserve">Education and Training</w:t>
            </w:r>
          </w:p>
        </w:tc>
        <w:tc>
          <w:tcPr/>
          <w:p>
            <w:pPr>
              <w:pStyle w:val="Compact"/>
              <w:jc w:val="right"/>
            </w:pPr>
            <w:r>
              <w:t xml:space="preserve">23.9</w:t>
            </w:r>
          </w:p>
        </w:tc>
        <w:tc>
          <w:tcPr/>
          <w:p>
            <w:pPr>
              <w:pStyle w:val="Compact"/>
              <w:jc w:val="right"/>
            </w:pPr>
            <w:r>
              <w:t xml:space="preserve">5.0</w:t>
            </w:r>
          </w:p>
        </w:tc>
        <w:tc>
          <w:tcPr/>
          <w:p>
            <w:pPr>
              <w:pStyle w:val="Compact"/>
              <w:jc w:val="center"/>
            </w:pPr>
            <w:r>
              <w:t xml:space="preserve">Low</w:t>
            </w:r>
          </w:p>
        </w:tc>
      </w:tr>
      <w:tr>
        <w:tc>
          <w:tcPr/>
          <w:p>
            <w:pPr>
              <w:pStyle w:val="Compact"/>
              <w:jc w:val="left"/>
            </w:pPr>
            <w:r>
              <w:t xml:space="preserve">Manufacturing</w:t>
            </w:r>
          </w:p>
        </w:tc>
        <w:tc>
          <w:tcPr/>
          <w:p>
            <w:pPr>
              <w:pStyle w:val="Compact"/>
              <w:jc w:val="right"/>
            </w:pPr>
            <w:r>
              <w:t xml:space="preserve">~28.6</w:t>
            </w:r>
          </w:p>
        </w:tc>
        <w:tc>
          <w:tcPr/>
          <w:p>
            <w:pPr>
              <w:pStyle w:val="Compact"/>
              <w:jc w:val="right"/>
            </w:pPr>
            <w:r>
              <w:t xml:space="preserve">6.0</w:t>
            </w:r>
          </w:p>
        </w:tc>
        <w:tc>
          <w:tcPr/>
          <w:p>
            <w:pPr>
              <w:pStyle w:val="Compact"/>
              <w:jc w:val="center"/>
            </w:pPr>
            <w:r>
              <w:t xml:space="preserve">Moderate</w:t>
            </w:r>
          </w:p>
        </w:tc>
      </w:tr>
      <w:tr>
        <w:tc>
          <w:tcPr/>
          <w:p>
            <w:pPr>
              <w:pStyle w:val="Compact"/>
              <w:jc w:val="left"/>
            </w:pPr>
            <w:r>
              <w:t xml:space="preserve">Transport, Postal and Warehousing</w:t>
            </w:r>
          </w:p>
        </w:tc>
        <w:tc>
          <w:tcPr/>
          <w:p>
            <w:pPr>
              <w:pStyle w:val="Compact"/>
              <w:jc w:val="right"/>
            </w:pPr>
            <w:r>
              <w:t xml:space="preserve">~22.0</w:t>
            </w:r>
          </w:p>
        </w:tc>
        <w:tc>
          <w:tcPr/>
          <w:p>
            <w:pPr>
              <w:pStyle w:val="Compact"/>
              <w:jc w:val="right"/>
            </w:pPr>
            <w:r>
              <w:t xml:space="preserve">~4.6</w:t>
            </w:r>
          </w:p>
        </w:tc>
        <w:tc>
          <w:tcPr/>
          <w:p>
            <w:pPr>
              <w:pStyle w:val="Compact"/>
              <w:jc w:val="center"/>
            </w:pPr>
            <w:r>
              <w:t xml:space="preserve">High</w:t>
            </w:r>
          </w:p>
        </w:tc>
      </w:tr>
      <w:tr>
        <w:tc>
          <w:tcPr/>
          <w:p>
            <w:pPr>
              <w:pStyle w:val="Compact"/>
              <w:jc w:val="left"/>
            </w:pPr>
            <w:r>
              <w:t xml:space="preserve">Retail Trade</w:t>
            </w:r>
          </w:p>
        </w:tc>
        <w:tc>
          <w:tcPr/>
          <w:p>
            <w:pPr>
              <w:pStyle w:val="Compact"/>
              <w:jc w:val="right"/>
            </w:pPr>
            <w:r>
              <w:t xml:space="preserve">~18.0</w:t>
            </w:r>
          </w:p>
        </w:tc>
        <w:tc>
          <w:tcPr/>
          <w:p>
            <w:pPr>
              <w:pStyle w:val="Compact"/>
              <w:jc w:val="right"/>
            </w:pPr>
            <w:r>
              <w:t xml:space="preserve">~3.8</w:t>
            </w:r>
          </w:p>
        </w:tc>
        <w:tc>
          <w:tcPr/>
          <w:p>
            <w:pPr>
              <w:pStyle w:val="Compact"/>
              <w:jc w:val="center"/>
            </w:pPr>
            <w:r>
              <w:t xml:space="preserve">Low</w:t>
            </w:r>
          </w:p>
        </w:tc>
      </w:tr>
      <w:tr>
        <w:tc>
          <w:tcPr/>
          <w:p>
            <w:pPr>
              <w:pStyle w:val="Compact"/>
              <w:jc w:val="left"/>
            </w:pPr>
            <w:r>
              <w:t xml:space="preserve">Agriculture, Forestry and Fishing</w:t>
            </w:r>
          </w:p>
        </w:tc>
        <w:tc>
          <w:tcPr/>
          <w:p>
            <w:pPr>
              <w:pStyle w:val="Compact"/>
              <w:jc w:val="right"/>
            </w:pPr>
            <w:r>
              <w:t xml:space="preserve">~16.7</w:t>
            </w:r>
          </w:p>
        </w:tc>
        <w:tc>
          <w:tcPr/>
          <w:p>
            <w:pPr>
              <w:pStyle w:val="Compact"/>
              <w:jc w:val="right"/>
            </w:pPr>
            <w:r>
              <w:t xml:space="preserve">~3.5</w:t>
            </w:r>
          </w:p>
        </w:tc>
        <w:tc>
          <w:tcPr/>
          <w:p>
            <w:pPr>
              <w:pStyle w:val="Compact"/>
              <w:jc w:val="center"/>
            </w:pPr>
            <w:r>
              <w:t xml:space="preserve">Very High</w:t>
            </w:r>
          </w:p>
        </w:tc>
      </w:tr>
      <w:tr>
        <w:tc>
          <w:tcPr/>
          <w:p>
            <w:pPr>
              <w:pStyle w:val="Compact"/>
              <w:jc w:val="left"/>
            </w:pPr>
            <w:r>
              <w:t xml:space="preserve">Accommodation and Food Services</w:t>
            </w:r>
          </w:p>
        </w:tc>
        <w:tc>
          <w:tcPr/>
          <w:p>
            <w:pPr>
              <w:pStyle w:val="Compact"/>
              <w:jc w:val="right"/>
            </w:pPr>
            <w:r>
              <w:t xml:space="preserve">~11.0</w:t>
            </w:r>
          </w:p>
        </w:tc>
        <w:tc>
          <w:tcPr/>
          <w:p>
            <w:pPr>
              <w:pStyle w:val="Compact"/>
              <w:jc w:val="right"/>
            </w:pPr>
            <w:r>
              <w:t xml:space="preserve">~2.3</w:t>
            </w:r>
          </w:p>
        </w:tc>
        <w:tc>
          <w:tcPr/>
          <w:p>
            <w:pPr>
              <w:pStyle w:val="Compact"/>
              <w:jc w:val="center"/>
            </w:pPr>
            <w:r>
              <w:t xml:space="preserve">High</w:t>
            </w:r>
          </w:p>
        </w:tc>
      </w:tr>
      <w:tr>
        <w:tc>
          <w:tcPr/>
          <w:p>
            <w:pPr>
              <w:pStyle w:val="Compact"/>
              <w:jc w:val="left"/>
            </w:pPr>
            <w:r>
              <w:t xml:space="preserve">Tourism (satellite account, direct)</w:t>
            </w:r>
          </w:p>
        </w:tc>
        <w:tc>
          <w:tcPr/>
          <w:p>
            <w:pPr>
              <w:pStyle w:val="Compact"/>
              <w:jc w:val="right"/>
            </w:pPr>
            <w:r>
              <w:t xml:space="preserve">15.7</w:t>
            </w:r>
          </w:p>
        </w:tc>
        <w:tc>
          <w:tcPr/>
          <w:p>
            <w:pPr>
              <w:pStyle w:val="Compact"/>
              <w:jc w:val="right"/>
            </w:pPr>
            <w:r>
              <w:t xml:space="preserve">3.1 (of GSP)</w:t>
            </w:r>
          </w:p>
        </w:tc>
        <w:tc>
          <w:tcPr/>
          <w:p>
            <w:pPr>
              <w:pStyle w:val="Compact"/>
              <w:jc w:val="center"/>
            </w:pPr>
            <w:r>
              <w:t xml:space="preserve">Very High</w:t>
            </w:r>
          </w:p>
        </w:tc>
      </w:tr>
      <w:tr>
        <w:tc>
          <w:tcPr/>
          <w:p>
            <w:pPr>
              <w:pStyle w:val="Compact"/>
              <w:jc w:val="left"/>
            </w:pPr>
            <w:r>
              <w:t xml:space="preserve">All other industries</w:t>
            </w:r>
          </w:p>
        </w:tc>
        <w:tc>
          <w:tcPr/>
          <w:p>
            <w:pPr>
              <w:pStyle w:val="Compact"/>
              <w:jc w:val="right"/>
            </w:pPr>
            <w:r>
              <w:t xml:space="preserve">—</w:t>
            </w:r>
          </w:p>
        </w:tc>
        <w:tc>
          <w:tcPr/>
          <w:p>
            <w:pPr>
              <w:pStyle w:val="Compact"/>
              <w:jc w:val="right"/>
            </w:pPr>
            <w:r>
              <w:t xml:space="preserve">~29.0</w:t>
            </w:r>
          </w:p>
        </w:tc>
        <w:tc>
          <w:tcPr/>
          <w:p>
            <w:pPr>
              <w:pStyle w:val="Compact"/>
              <w:jc w:val="center"/>
            </w:pPr>
            <w:r>
              <w:t xml:space="preserve">—</w:t>
            </w:r>
          </w:p>
        </w:tc>
      </w:tr>
      <w:tr>
        <w:tc>
          <w:tcPr/>
          <w:p>
            <w:pPr>
              <w:pStyle w:val="Compact"/>
              <w:jc w:val="left"/>
            </w:pPr>
            <w:r>
              <w:rPr>
                <w:b/>
                <w:bCs/>
              </w:rPr>
              <w:t xml:space="preserve">Total GVA</w:t>
            </w:r>
          </w:p>
        </w:tc>
        <w:tc>
          <w:tcPr/>
          <w:p>
            <w:pPr>
              <w:pStyle w:val="Compact"/>
              <w:jc w:val="right"/>
            </w:pPr>
            <w:r>
              <w:rPr>
                <w:b/>
                <w:bCs/>
              </w:rPr>
              <w:t xml:space="preserve">~477</w:t>
            </w:r>
          </w:p>
        </w:tc>
        <w:tc>
          <w:tcPr/>
          <w:p>
            <w:pPr>
              <w:pStyle w:val="Compact"/>
              <w:jc w:val="right"/>
            </w:pPr>
            <w:r>
              <w:rPr>
                <w:b/>
                <w:bCs/>
              </w:rPr>
              <w:t xml:space="preserve">100</w:t>
            </w:r>
          </w:p>
        </w:tc>
        <w:tc>
          <w:tcPr/>
          <w:p>
            <w:pPr>
              <w:pStyle w:val="Compact"/>
              <w:jc w:val="center"/>
            </w:pPr>
            <w:r>
              <w:t xml:space="preserve">—</w:t>
            </w:r>
          </w:p>
        </w:tc>
      </w:tr>
    </w:tbl>
    <w:p>
      <w:pPr>
        <w:pStyle w:val="BodyText"/>
      </w:pPr>
      <w:r>
        <w:rPr>
          <w:i/>
          <w:iCs/>
        </w:rPr>
        <w:t xml:space="preserve">Source: QLD Treasury</w:t>
      </w:r>
      <w:r>
        <w:rPr>
          <w:i/>
          <w:iCs/>
        </w:rPr>
        <w:t xml:space="preserve"> </w:t>
      </w:r>
      <w:r>
        <w:rPr>
          <w:i/>
          <w:iCs/>
        </w:rPr>
        <w:t xml:space="preserve">“Queensland’s Economy”</w:t>
      </w:r>
      <w:r>
        <w:rPr>
          <w:i/>
          <w:iCs/>
        </w:rPr>
        <w:t xml:space="preserve"> </w:t>
      </w:r>
      <w:r>
        <w:rPr>
          <w:i/>
          <w:iCs/>
        </w:rPr>
        <w:t xml:space="preserve">(2023–24 data); ABS State Accounts 2024–25; DFAT QLD fact sheet; Tourism Research Australia State Tourism Satellite Account. Tilde indicates estimates; confirmed values are Mining, Health, Construction, Education, Manufacturing, and Tourism. Financial and professional services combined = $57.0B.</w:t>
      </w:r>
    </w:p>
    <w:bookmarkEnd w:id="26"/>
    <w:bookmarkStart w:id="27" w:name="climate-exposed-sectors-summary"/>
    <w:p>
      <w:pPr>
        <w:pStyle w:val="Heading3"/>
      </w:pPr>
      <w:r>
        <w:t xml:space="preserve">3.2 Climate-Exposed Sectors Summary</w:t>
      </w:r>
    </w:p>
    <w:p>
      <w:pPr>
        <w:pStyle w:val="FirstParagraph"/>
      </w:pPr>
      <w:r>
        <w:t xml:space="preserve">The sectors most directly exposed to climate variability and extreme weather events account for a substantial share of Queensland’s economy:</w:t>
      </w:r>
    </w:p>
    <w:p>
      <w:pPr>
        <w:pStyle w:val="BodyText"/>
      </w:pPr>
      <w:r>
        <w:rPr>
          <w:b/>
          <w:bCs/>
        </w:rPr>
        <w:t xml:space="preserve">Climate-exposed industry shares, Queensland, 2023–24</w:t>
      </w:r>
    </w:p>
    <w:tbl>
      <w:tblPr>
        <w:tblStyle w:val="Table"/>
        <w:tblW w:type="pct" w:w="5000"/>
        <w:tblLayout w:type="fixed"/>
        <w:tblLook w:firstRow="1" w:lastRow="0" w:firstColumn="0" w:lastColumn="0" w:noHBand="0" w:noVBand="0" w:val="0020"/>
      </w:tblPr>
      <w:tblGrid>
        <w:gridCol w:w="1320"/>
        <w:gridCol w:w="1815"/>
        <w:gridCol w:w="1650"/>
        <w:gridCol w:w="3135"/>
      </w:tblGrid>
      <w:tr>
        <w:trPr>
          <w:tblHeader w:val="on"/>
        </w:trPr>
        <w:tc>
          <w:tcPr/>
          <w:p>
            <w:pPr>
              <w:pStyle w:val="Compact"/>
              <w:jc w:val="left"/>
            </w:pPr>
            <w:r>
              <w:t xml:space="preserve">Sector</w:t>
            </w:r>
          </w:p>
        </w:tc>
        <w:tc>
          <w:tcPr/>
          <w:p>
            <w:pPr>
              <w:pStyle w:val="Compact"/>
              <w:jc w:val="right"/>
            </w:pPr>
            <w:r>
              <w:t xml:space="preserve">GVA ($B)</w:t>
            </w:r>
          </w:p>
        </w:tc>
        <w:tc>
          <w:tcPr/>
          <w:p>
            <w:pPr>
              <w:pStyle w:val="Compact"/>
              <w:jc w:val="right"/>
            </w:pPr>
            <w:r>
              <w:t xml:space="preserve">% of GSP</w:t>
            </w:r>
          </w:p>
        </w:tc>
        <w:tc>
          <w:tcPr/>
          <w:p>
            <w:pPr>
              <w:pStyle w:val="Compact"/>
              <w:jc w:val="left"/>
            </w:pPr>
            <w:r>
              <w:t xml:space="preserve">Key Climate Risks</w:t>
            </w:r>
          </w:p>
        </w:tc>
      </w:tr>
      <w:tr>
        <w:tc>
          <w:tcPr/>
          <w:p>
            <w:pPr>
              <w:pStyle w:val="Compact"/>
              <w:jc w:val="left"/>
            </w:pPr>
            <w:r>
              <w:t xml:space="preserve">Agriculture, Forestry and Fishing</w:t>
            </w:r>
          </w:p>
        </w:tc>
        <w:tc>
          <w:tcPr/>
          <w:p>
            <w:pPr>
              <w:pStyle w:val="Compact"/>
              <w:jc w:val="right"/>
            </w:pPr>
            <w:r>
              <w:t xml:space="preserve">~16.7</w:t>
            </w:r>
          </w:p>
        </w:tc>
        <w:tc>
          <w:tcPr/>
          <w:p>
            <w:pPr>
              <w:pStyle w:val="Compact"/>
              <w:jc w:val="right"/>
            </w:pPr>
            <w:r>
              <w:t xml:space="preserve">~3.5</w:t>
            </w:r>
          </w:p>
        </w:tc>
        <w:tc>
          <w:tcPr/>
          <w:p>
            <w:pPr>
              <w:pStyle w:val="Compact"/>
              <w:jc w:val="left"/>
            </w:pPr>
            <w:r>
              <w:t xml:space="preserve">Drought, flood, heat stress, cyclones</w:t>
            </w:r>
          </w:p>
        </w:tc>
      </w:tr>
      <w:tr>
        <w:tc>
          <w:tcPr/>
          <w:p>
            <w:pPr>
              <w:pStyle w:val="Compact"/>
              <w:jc w:val="left"/>
            </w:pPr>
            <w:r>
              <w:t xml:space="preserve">Construction</w:t>
            </w:r>
          </w:p>
        </w:tc>
        <w:tc>
          <w:tcPr/>
          <w:p>
            <w:pPr>
              <w:pStyle w:val="Compact"/>
              <w:jc w:val="right"/>
            </w:pPr>
            <w:r>
              <w:t xml:space="preserve">37.6</w:t>
            </w:r>
          </w:p>
        </w:tc>
        <w:tc>
          <w:tcPr/>
          <w:p>
            <w:pPr>
              <w:pStyle w:val="Compact"/>
              <w:jc w:val="right"/>
            </w:pPr>
            <w:r>
              <w:t xml:space="preserve">7.9</w:t>
            </w:r>
          </w:p>
        </w:tc>
        <w:tc>
          <w:tcPr/>
          <w:p>
            <w:pPr>
              <w:pStyle w:val="Compact"/>
              <w:jc w:val="left"/>
            </w:pPr>
            <w:r>
              <w:t xml:space="preserve">Extreme heat (worker safety), flood damage, supply chain disruption</w:t>
            </w:r>
          </w:p>
        </w:tc>
      </w:tr>
      <w:tr>
        <w:tc>
          <w:tcPr/>
          <w:p>
            <w:pPr>
              <w:pStyle w:val="Compact"/>
              <w:jc w:val="left"/>
            </w:pPr>
            <w:r>
              <w:t xml:space="preserve">Tourism (direct GVA)</w:t>
            </w:r>
          </w:p>
        </w:tc>
        <w:tc>
          <w:tcPr/>
          <w:p>
            <w:pPr>
              <w:pStyle w:val="Compact"/>
              <w:jc w:val="right"/>
            </w:pPr>
            <w:r>
              <w:t xml:space="preserve">15.7</w:t>
            </w:r>
          </w:p>
        </w:tc>
        <w:tc>
          <w:tcPr/>
          <w:p>
            <w:pPr>
              <w:pStyle w:val="Compact"/>
              <w:jc w:val="right"/>
            </w:pPr>
            <w:r>
              <w:t xml:space="preserve">3.1</w:t>
            </w:r>
          </w:p>
        </w:tc>
        <w:tc>
          <w:tcPr/>
          <w:p>
            <w:pPr>
              <w:pStyle w:val="Compact"/>
              <w:jc w:val="left"/>
            </w:pPr>
            <w:r>
              <w:t xml:space="preserve">Coral bleaching (GBR), cyclones, heatwaves, flood access</w:t>
            </w:r>
          </w:p>
        </w:tc>
      </w:tr>
      <w:tr>
        <w:tc>
          <w:tcPr/>
          <w:p>
            <w:pPr>
              <w:pStyle w:val="Compact"/>
              <w:jc w:val="left"/>
            </w:pPr>
            <w:r>
              <w:t xml:space="preserve">Transport and Warehousing</w:t>
            </w:r>
          </w:p>
        </w:tc>
        <w:tc>
          <w:tcPr/>
          <w:p>
            <w:pPr>
              <w:pStyle w:val="Compact"/>
              <w:jc w:val="right"/>
            </w:pPr>
            <w:r>
              <w:t xml:space="preserve">~22.0</w:t>
            </w:r>
          </w:p>
        </w:tc>
        <w:tc>
          <w:tcPr/>
          <w:p>
            <w:pPr>
              <w:pStyle w:val="Compact"/>
              <w:jc w:val="right"/>
            </w:pPr>
            <w:r>
              <w:t xml:space="preserve">~4.6</w:t>
            </w:r>
          </w:p>
        </w:tc>
        <w:tc>
          <w:tcPr/>
          <w:p>
            <w:pPr>
              <w:pStyle w:val="Compact"/>
              <w:jc w:val="left"/>
            </w:pPr>
            <w:r>
              <w:t xml:space="preserve">Road/rail flood damage, cyclone closures</w:t>
            </w:r>
          </w:p>
        </w:tc>
      </w:tr>
      <w:tr>
        <w:tc>
          <w:tcPr/>
          <w:p>
            <w:pPr>
              <w:pStyle w:val="Compact"/>
              <w:jc w:val="left"/>
            </w:pPr>
            <w:r>
              <w:t xml:space="preserve">Accommodation and Food Services</w:t>
            </w:r>
          </w:p>
        </w:tc>
        <w:tc>
          <w:tcPr/>
          <w:p>
            <w:pPr>
              <w:pStyle w:val="Compact"/>
              <w:jc w:val="right"/>
            </w:pPr>
            <w:r>
              <w:t xml:space="preserve">~11.0</w:t>
            </w:r>
          </w:p>
        </w:tc>
        <w:tc>
          <w:tcPr/>
          <w:p>
            <w:pPr>
              <w:pStyle w:val="Compact"/>
              <w:jc w:val="right"/>
            </w:pPr>
            <w:r>
              <w:t xml:space="preserve">~2.3</w:t>
            </w:r>
          </w:p>
        </w:tc>
        <w:tc>
          <w:tcPr/>
          <w:p>
            <w:pPr>
              <w:pStyle w:val="Compact"/>
              <w:jc w:val="left"/>
            </w:pPr>
            <w:r>
              <w:t xml:space="preserve">Cyclones, floods, bushfires</w:t>
            </w:r>
          </w:p>
        </w:tc>
      </w:tr>
      <w:tr>
        <w:tc>
          <w:tcPr/>
          <w:p>
            <w:pPr>
              <w:pStyle w:val="Compact"/>
              <w:jc w:val="left"/>
            </w:pPr>
            <w:r>
              <w:rPr>
                <w:b/>
                <w:bCs/>
              </w:rPr>
              <w:t xml:space="preserve">Total climate-exposed</w:t>
            </w:r>
          </w:p>
        </w:tc>
        <w:tc>
          <w:tcPr/>
          <w:p>
            <w:pPr>
              <w:pStyle w:val="Compact"/>
              <w:jc w:val="right"/>
            </w:pPr>
            <w:r>
              <w:rPr>
                <w:b/>
                <w:bCs/>
              </w:rPr>
              <w:t xml:space="preserve">~103</w:t>
            </w:r>
          </w:p>
        </w:tc>
        <w:tc>
          <w:tcPr/>
          <w:p>
            <w:pPr>
              <w:pStyle w:val="Compact"/>
              <w:jc w:val="right"/>
            </w:pPr>
            <w:r>
              <w:rPr>
                <w:b/>
                <w:bCs/>
              </w:rPr>
              <w:t xml:space="preserve">~21.4</w:t>
            </w:r>
          </w:p>
        </w:tc>
        <w:tc>
          <w:tcPr/>
          <w:p>
            <w:pPr>
              <w:pStyle w:val="Compact"/>
            </w:pPr>
          </w:p>
        </w:tc>
      </w:tr>
    </w:tbl>
    <w:p>
      <w:pPr>
        <w:pStyle w:val="BodyText"/>
      </w:pPr>
      <w:r>
        <w:rPr>
          <w:i/>
          <w:iCs/>
        </w:rPr>
        <w:t xml:space="preserve">Source: Author calculations from QLD Treasury, ABS, and TRA data. Mining (12.9% of GVA) has moderate climate exposure through water supply constraints, heat stress, and transport disruption but is not included in the</w:t>
      </w:r>
      <w:r>
        <w:rPr>
          <w:i/>
          <w:iCs/>
        </w:rPr>
        <w:t xml:space="preserve"> </w:t>
      </w:r>
      <w:r>
        <w:rPr>
          <w:i/>
          <w:iCs/>
        </w:rPr>
        <w:t xml:space="preserve">“very high/high”</w:t>
      </w:r>
      <w:r>
        <w:rPr>
          <w:i/>
          <w:iCs/>
        </w:rPr>
        <w:t xml:space="preserve"> </w:t>
      </w:r>
      <w:r>
        <w:rPr>
          <w:i/>
          <w:iCs/>
        </w:rPr>
        <w:t xml:space="preserve">total above.</w:t>
      </w:r>
    </w:p>
    <w:p>
      <w:pPr>
        <w:pStyle w:val="BodyText"/>
      </w:pPr>
      <w:r>
        <w:t xml:space="preserve">Including mining would bring the total climate-exposed share to approximately 34 per cent of Queensland’s GVA.</w:t>
      </w:r>
    </w:p>
    <w:bookmarkEnd w:id="27"/>
    <w:bookmarkStart w:id="28" w:name="industry-growth-drivers-202425"/>
    <w:p>
      <w:pPr>
        <w:pStyle w:val="Heading3"/>
      </w:pPr>
      <w:r>
        <w:t xml:space="preserve">3.3 Industry Growth Drivers, 2024–25</w:t>
      </w:r>
    </w:p>
    <w:p>
      <w:pPr>
        <w:pStyle w:val="FirstParagraph"/>
      </w:pPr>
      <w:r>
        <w:rPr>
          <w:b/>
          <w:bCs/>
        </w:rPr>
        <w:t xml:space="preserve">Strongest industry contributors to Queensland GSP growth, 2024–25</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Industry</w:t>
            </w:r>
          </w:p>
        </w:tc>
        <w:tc>
          <w:tcPr/>
          <w:p>
            <w:pPr>
              <w:pStyle w:val="Compact"/>
              <w:jc w:val="right"/>
            </w:pPr>
            <w:r>
              <w:t xml:space="preserve">Growth (%)</w:t>
            </w:r>
          </w:p>
        </w:tc>
      </w:tr>
      <w:tr>
        <w:tc>
          <w:tcPr/>
          <w:p>
            <w:pPr>
              <w:pStyle w:val="Compact"/>
              <w:jc w:val="left"/>
            </w:pPr>
            <w:r>
              <w:t xml:space="preserve">Agriculture, Forestry and Fishing</w:t>
            </w:r>
          </w:p>
        </w:tc>
        <w:tc>
          <w:tcPr/>
          <w:p>
            <w:pPr>
              <w:pStyle w:val="Compact"/>
              <w:jc w:val="right"/>
            </w:pPr>
            <w:r>
              <w:t xml:space="preserve">+10.0</w:t>
            </w:r>
          </w:p>
        </w:tc>
      </w:tr>
      <w:tr>
        <w:tc>
          <w:tcPr/>
          <w:p>
            <w:pPr>
              <w:pStyle w:val="Compact"/>
              <w:jc w:val="left"/>
            </w:pPr>
            <w:r>
              <w:t xml:space="preserve">Professional, Scientific and Technical Services</w:t>
            </w:r>
          </w:p>
        </w:tc>
        <w:tc>
          <w:tcPr/>
          <w:p>
            <w:pPr>
              <w:pStyle w:val="Compact"/>
              <w:jc w:val="right"/>
            </w:pPr>
            <w:r>
              <w:t xml:space="preserve">+4.2</w:t>
            </w:r>
          </w:p>
        </w:tc>
      </w:tr>
      <w:tr>
        <w:tc>
          <w:tcPr/>
          <w:p>
            <w:pPr>
              <w:pStyle w:val="Compact"/>
              <w:jc w:val="left"/>
            </w:pPr>
            <w:r>
              <w:t xml:space="preserve">Construction</w:t>
            </w:r>
          </w:p>
        </w:tc>
        <w:tc>
          <w:tcPr/>
          <w:p>
            <w:pPr>
              <w:pStyle w:val="Compact"/>
              <w:jc w:val="right"/>
            </w:pPr>
            <w:r>
              <w:t xml:space="preserve">+3.1</w:t>
            </w:r>
          </w:p>
        </w:tc>
      </w:tr>
      <w:tr>
        <w:tc>
          <w:tcPr/>
          <w:p>
            <w:pPr>
              <w:pStyle w:val="Compact"/>
              <w:jc w:val="left"/>
            </w:pPr>
            <w:r>
              <w:t xml:space="preserve">Mining</w:t>
            </w:r>
          </w:p>
        </w:tc>
        <w:tc>
          <w:tcPr/>
          <w:p>
            <w:pPr>
              <w:pStyle w:val="Compact"/>
              <w:jc w:val="right"/>
            </w:pPr>
            <w:r>
              <w:t xml:space="preserve">-3.8</w:t>
            </w:r>
          </w:p>
        </w:tc>
      </w:tr>
    </w:tbl>
    <w:p>
      <w:pPr>
        <w:pStyle w:val="BodyText"/>
      </w:pPr>
      <w:r>
        <w:rPr>
          <w:i/>
          <w:iCs/>
        </w:rPr>
        <w:t xml:space="preserve">Source: ABS State Accounts 2024–25 via DFAT QLD fact sheet. Agriculture’s 10% growth was driven by favourable weather conditions increasing crop and livestock production.</w:t>
      </w:r>
    </w:p>
    <w:p>
      <w:r>
        <w:pict>
          <v:rect style="width:0;height:1.5pt" o:hralign="center" o:hrstd="t" o:hr="t"/>
        </w:pict>
      </w:r>
    </w:p>
    <w:bookmarkEnd w:id="28"/>
    <w:bookmarkEnd w:id="29"/>
    <w:bookmarkStart w:id="33" w:name="queensland-agricultural-production"/>
    <w:p>
      <w:pPr>
        <w:pStyle w:val="Heading2"/>
      </w:pPr>
      <w:r>
        <w:t xml:space="preserve">4. Queensland Agricultural Production</w:t>
      </w:r>
    </w:p>
    <w:bookmarkStart w:id="30" w:name="total-agricultural-value"/>
    <w:p>
      <w:pPr>
        <w:pStyle w:val="Heading3"/>
      </w:pPr>
      <w:r>
        <w:t xml:space="preserve">4.1 Total Agricultural Value</w:t>
      </w:r>
    </w:p>
    <w:p>
      <w:pPr>
        <w:pStyle w:val="FirstParagraph"/>
      </w:pPr>
      <w:r>
        <w:rPr>
          <w:b/>
          <w:bCs/>
        </w:rPr>
        <w:t xml:space="preserve">Queensland primary industries gross value of production (GVP)</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Financial Year</w:t>
            </w:r>
          </w:p>
        </w:tc>
        <w:tc>
          <w:tcPr/>
          <w:p>
            <w:pPr>
              <w:pStyle w:val="Compact"/>
              <w:jc w:val="right"/>
            </w:pPr>
            <w:r>
              <w:t xml:space="preserve">GVP ($B)</w:t>
            </w:r>
          </w:p>
        </w:tc>
        <w:tc>
          <w:tcPr/>
          <w:p>
            <w:pPr>
              <w:pStyle w:val="Compact"/>
              <w:jc w:val="left"/>
            </w:pPr>
            <w:r>
              <w:t xml:space="preserve">Notes</w:t>
            </w:r>
          </w:p>
        </w:tc>
      </w:tr>
      <w:tr>
        <w:tc>
          <w:tcPr/>
          <w:p>
            <w:pPr>
              <w:pStyle w:val="Compact"/>
              <w:jc w:val="left"/>
            </w:pPr>
            <w:r>
              <w:t xml:space="preserve">2019–20</w:t>
            </w:r>
          </w:p>
        </w:tc>
        <w:tc>
          <w:tcPr/>
          <w:p>
            <w:pPr>
              <w:pStyle w:val="Compact"/>
              <w:jc w:val="right"/>
            </w:pPr>
            <w:r>
              <w:t xml:space="preserve">~17.0</w:t>
            </w:r>
          </w:p>
        </w:tc>
        <w:tc>
          <w:tcPr/>
          <w:p>
            <w:pPr>
              <w:pStyle w:val="Compact"/>
              <w:jc w:val="left"/>
            </w:pPr>
            <w:r>
              <w:t xml:space="preserve">Pre-COVID baseline</w:t>
            </w:r>
          </w:p>
        </w:tc>
      </w:tr>
      <w:tr>
        <w:tc>
          <w:tcPr/>
          <w:p>
            <w:pPr>
              <w:pStyle w:val="Compact"/>
              <w:jc w:val="left"/>
            </w:pPr>
            <w:r>
              <w:t xml:space="preserve">2020–21</w:t>
            </w:r>
          </w:p>
        </w:tc>
        <w:tc>
          <w:tcPr/>
          <w:p>
            <w:pPr>
              <w:pStyle w:val="Compact"/>
              <w:jc w:val="right"/>
            </w:pPr>
            <w:r>
              <w:t xml:space="preserve">~19.0</w:t>
            </w:r>
          </w:p>
        </w:tc>
        <w:tc>
          <w:tcPr/>
          <w:p>
            <w:pPr>
              <w:pStyle w:val="Compact"/>
              <w:jc w:val="left"/>
            </w:pPr>
            <w:r>
              <w:t xml:space="preserve">Recovery from drought</w:t>
            </w:r>
          </w:p>
        </w:tc>
      </w:tr>
      <w:tr>
        <w:tc>
          <w:tcPr/>
          <w:p>
            <w:pPr>
              <w:pStyle w:val="Compact"/>
              <w:jc w:val="left"/>
            </w:pPr>
            <w:r>
              <w:t xml:space="preserve">2021–22</w:t>
            </w:r>
          </w:p>
        </w:tc>
        <w:tc>
          <w:tcPr/>
          <w:p>
            <w:pPr>
              <w:pStyle w:val="Compact"/>
              <w:jc w:val="right"/>
            </w:pPr>
            <w:r>
              <w:t xml:space="preserve">23.37</w:t>
            </w:r>
          </w:p>
        </w:tc>
        <w:tc>
          <w:tcPr/>
          <w:p>
            <w:pPr>
              <w:pStyle w:val="Compact"/>
              <w:jc w:val="left"/>
            </w:pPr>
            <w:r>
              <w:t xml:space="preserve">Record at the time</w:t>
            </w:r>
          </w:p>
        </w:tc>
      </w:tr>
      <w:tr>
        <w:tc>
          <w:tcPr/>
          <w:p>
            <w:pPr>
              <w:pStyle w:val="Compact"/>
              <w:jc w:val="left"/>
            </w:pPr>
            <w:r>
              <w:t xml:space="preserve">2022–23</w:t>
            </w:r>
          </w:p>
        </w:tc>
        <w:tc>
          <w:tcPr/>
          <w:p>
            <w:pPr>
              <w:pStyle w:val="Compact"/>
              <w:jc w:val="right"/>
            </w:pPr>
            <w:r>
              <w:t xml:space="preserve">23.44</w:t>
            </w:r>
          </w:p>
        </w:tc>
        <w:tc>
          <w:tcPr/>
          <w:p>
            <w:pPr>
              <w:pStyle w:val="Compact"/>
              <w:jc w:val="left"/>
            </w:pPr>
            <w:r>
              <w:t xml:space="preserve">New record; $22.1B excl. forestry/fishing</w:t>
            </w:r>
          </w:p>
        </w:tc>
      </w:tr>
      <w:tr>
        <w:tc>
          <w:tcPr/>
          <w:p>
            <w:pPr>
              <w:pStyle w:val="Compact"/>
              <w:jc w:val="left"/>
            </w:pPr>
            <w:r>
              <w:t xml:space="preserve">2023–24</w:t>
            </w:r>
          </w:p>
        </w:tc>
        <w:tc>
          <w:tcPr/>
          <w:p>
            <w:pPr>
              <w:pStyle w:val="Compact"/>
              <w:jc w:val="right"/>
            </w:pPr>
            <w:r>
              <w:t xml:space="preserve">22.10</w:t>
            </w:r>
          </w:p>
        </w:tc>
        <w:tc>
          <w:tcPr/>
          <w:p>
            <w:pPr>
              <w:pStyle w:val="Compact"/>
              <w:jc w:val="left"/>
            </w:pPr>
            <w:r>
              <w:t xml:space="preserve">Third highest; -10% from previous year</w:t>
            </w:r>
          </w:p>
        </w:tc>
      </w:tr>
      <w:tr>
        <w:tc>
          <w:tcPr/>
          <w:p>
            <w:pPr>
              <w:pStyle w:val="Compact"/>
              <w:jc w:val="left"/>
            </w:pPr>
            <w:r>
              <w:t xml:space="preserve">2024–25 (f)</w:t>
            </w:r>
          </w:p>
        </w:tc>
        <w:tc>
          <w:tcPr/>
          <w:p>
            <w:pPr>
              <w:pStyle w:val="Compact"/>
              <w:jc w:val="right"/>
            </w:pPr>
            <w:r>
              <w:t xml:space="preserve">23.56–26.79</w:t>
            </w:r>
          </w:p>
        </w:tc>
        <w:tc>
          <w:tcPr/>
          <w:p>
            <w:pPr>
              <w:pStyle w:val="Compact"/>
              <w:jc w:val="left"/>
            </w:pPr>
            <w:r>
              <w:t xml:space="preserve">Forecast: second highest to new record</w:t>
            </w:r>
          </w:p>
        </w:tc>
      </w:tr>
    </w:tbl>
    <w:p>
      <w:pPr>
        <w:pStyle w:val="BodyText"/>
      </w:pPr>
      <w:r>
        <w:rPr>
          <w:i/>
          <w:iCs/>
        </w:rPr>
        <w:t xml:space="preserve">Source: QLD AgTrends (QLD Department of Primary Industries); QLD Government media statements. The 2024–25 range reflects the initial AgTrends forecast ($23.56B) and a later updated forecast ($26.79B, +18% on 2023–24).</w:t>
      </w:r>
    </w:p>
    <w:bookmarkEnd w:id="30"/>
    <w:bookmarkStart w:id="31" w:name="key-commodity-values"/>
    <w:p>
      <w:pPr>
        <w:pStyle w:val="Heading3"/>
      </w:pPr>
      <w:r>
        <w:t xml:space="preserve">4.2 Key Commodity Values</w:t>
      </w:r>
    </w:p>
    <w:p>
      <w:pPr>
        <w:pStyle w:val="FirstParagraph"/>
      </w:pPr>
      <w:r>
        <w:rPr>
          <w:b/>
          <w:bCs/>
        </w:rPr>
        <w:t xml:space="preserve">Queensland top agricultural commodities, 2023–24</w:t>
      </w:r>
    </w:p>
    <w:tbl>
      <w:tblPr>
        <w:tblStyle w:val="Table"/>
        <w:tblW w:type="pct" w:w="5000"/>
        <w:tblLayout w:type="fixed"/>
        <w:tblLook w:firstRow="1" w:lastRow="0" w:firstColumn="0" w:lastColumn="0" w:noHBand="0" w:noVBand="0" w:val="0020"/>
      </w:tblPr>
      <w:tblGrid>
        <w:gridCol w:w="3004"/>
        <w:gridCol w:w="3004"/>
        <w:gridCol w:w="1911"/>
      </w:tblGrid>
      <w:tr>
        <w:trPr>
          <w:tblHeader w:val="on"/>
        </w:trPr>
        <w:tc>
          <w:tcPr/>
          <w:p>
            <w:pPr>
              <w:pStyle w:val="Compact"/>
              <w:jc w:val="left"/>
            </w:pPr>
            <w:r>
              <w:t xml:space="preserve">Commodity</w:t>
            </w:r>
          </w:p>
        </w:tc>
        <w:tc>
          <w:tcPr/>
          <w:p>
            <w:pPr>
              <w:pStyle w:val="Compact"/>
              <w:jc w:val="right"/>
            </w:pPr>
            <w:r>
              <w:t xml:space="preserve">GVP ($B)</w:t>
            </w:r>
          </w:p>
        </w:tc>
        <w:tc>
          <w:tcPr/>
          <w:p>
            <w:pPr>
              <w:pStyle w:val="Compact"/>
              <w:jc w:val="left"/>
            </w:pPr>
            <w:r>
              <w:t xml:space="preserve">QLD Share of National Production</w:t>
            </w:r>
          </w:p>
        </w:tc>
      </w:tr>
      <w:tr>
        <w:tc>
          <w:tcPr/>
          <w:p>
            <w:pPr>
              <w:pStyle w:val="Compact"/>
              <w:jc w:val="left"/>
            </w:pPr>
            <w:r>
              <w:t xml:space="preserve">Cattle and calves</w:t>
            </w:r>
          </w:p>
        </w:tc>
        <w:tc>
          <w:tcPr/>
          <w:p>
            <w:pPr>
              <w:pStyle w:val="Compact"/>
              <w:jc w:val="right"/>
            </w:pPr>
            <w:r>
              <w:t xml:space="preserve">5.71</w:t>
            </w:r>
          </w:p>
        </w:tc>
        <w:tc>
          <w:tcPr/>
          <w:p>
            <w:pPr>
              <w:pStyle w:val="Compact"/>
              <w:jc w:val="left"/>
            </w:pPr>
            <w:r>
              <w:t xml:space="preserve">45% of national herd</w:t>
            </w:r>
          </w:p>
        </w:tc>
      </w:tr>
      <w:tr>
        <w:tc>
          <w:tcPr/>
          <w:p>
            <w:pPr>
              <w:pStyle w:val="Compact"/>
              <w:jc w:val="left"/>
            </w:pPr>
            <w:r>
              <w:t xml:space="preserve">Sugarcane</w:t>
            </w:r>
          </w:p>
        </w:tc>
        <w:tc>
          <w:tcPr/>
          <w:p>
            <w:pPr>
              <w:pStyle w:val="Compact"/>
              <w:jc w:val="right"/>
            </w:pPr>
            <w:r>
              <w:t xml:space="preserve">2.06</w:t>
            </w:r>
          </w:p>
        </w:tc>
        <w:tc>
          <w:tcPr/>
          <w:p>
            <w:pPr>
              <w:pStyle w:val="Compact"/>
              <w:jc w:val="left"/>
            </w:pPr>
            <w:r>
              <w:t xml:space="preserve">96% of national production</w:t>
            </w:r>
          </w:p>
        </w:tc>
      </w:tr>
      <w:tr>
        <w:tc>
          <w:tcPr/>
          <w:p>
            <w:pPr>
              <w:pStyle w:val="Compact"/>
              <w:jc w:val="left"/>
            </w:pPr>
            <w:r>
              <w:t xml:space="preserve">Cotton (raw)</w:t>
            </w:r>
          </w:p>
        </w:tc>
        <w:tc>
          <w:tcPr/>
          <w:p>
            <w:pPr>
              <w:pStyle w:val="Compact"/>
              <w:jc w:val="right"/>
            </w:pPr>
            <w:r>
              <w:t xml:space="preserve">~1.5</w:t>
            </w:r>
          </w:p>
        </w:tc>
        <w:tc>
          <w:tcPr/>
          <w:p>
            <w:pPr>
              <w:pStyle w:val="Compact"/>
              <w:jc w:val="left"/>
            </w:pPr>
            <w:r>
              <w:t xml:space="preserve">22% of national production</w:t>
            </w:r>
          </w:p>
        </w:tc>
      </w:tr>
      <w:tr>
        <w:tc>
          <w:tcPr/>
          <w:p>
            <w:pPr>
              <w:pStyle w:val="Compact"/>
              <w:jc w:val="left"/>
            </w:pPr>
            <w:r>
              <w:t xml:space="preserve">Fruit and vegetables (selected)</w:t>
            </w:r>
          </w:p>
        </w:tc>
        <w:tc>
          <w:tcPr/>
          <w:p>
            <w:pPr>
              <w:pStyle w:val="Compact"/>
              <w:jc w:val="right"/>
            </w:pPr>
            <w:r>
              <w:t xml:space="preserve">~3.0</w:t>
            </w:r>
          </w:p>
        </w:tc>
        <w:tc>
          <w:tcPr/>
          <w:p>
            <w:pPr>
              <w:pStyle w:val="Compact"/>
              <w:jc w:val="left"/>
            </w:pPr>
            <w:r>
              <w:t xml:space="preserve">Bananas 94%, macadamias 68%, avocados 43%</w:t>
            </w:r>
          </w:p>
        </w:tc>
      </w:tr>
      <w:tr>
        <w:tc>
          <w:tcPr/>
          <w:p>
            <w:pPr>
              <w:pStyle w:val="Compact"/>
              <w:jc w:val="left"/>
            </w:pPr>
            <w:r>
              <w:t xml:space="preserve">Meat processing</w:t>
            </w:r>
          </w:p>
        </w:tc>
        <w:tc>
          <w:tcPr/>
          <w:p>
            <w:pPr>
              <w:pStyle w:val="Compact"/>
              <w:jc w:val="right"/>
            </w:pPr>
            <w:r>
              <w:t xml:space="preserve">~2.8</w:t>
            </w:r>
          </w:p>
        </w:tc>
        <w:tc>
          <w:tcPr/>
          <w:p>
            <w:pPr>
              <w:pStyle w:val="Compact"/>
              <w:jc w:val="left"/>
            </w:pPr>
            <w:r>
              <w:t xml:space="preserve">Linked to cattle, second-stage value</w:t>
            </w:r>
          </w:p>
        </w:tc>
      </w:tr>
      <w:tr>
        <w:tc>
          <w:tcPr/>
          <w:p>
            <w:pPr>
              <w:pStyle w:val="Compact"/>
              <w:jc w:val="left"/>
            </w:pPr>
            <w:r>
              <w:t xml:space="preserve">Sugarcane + sugar processing (combined)</w:t>
            </w:r>
          </w:p>
        </w:tc>
        <w:tc>
          <w:tcPr/>
          <w:p>
            <w:pPr>
              <w:pStyle w:val="Compact"/>
              <w:jc w:val="right"/>
            </w:pPr>
            <w:r>
              <w:t xml:space="preserve">~2.5</w:t>
            </w:r>
          </w:p>
        </w:tc>
        <w:tc>
          <w:tcPr/>
          <w:p>
            <w:pPr>
              <w:pStyle w:val="Compact"/>
              <w:jc w:val="left"/>
            </w:pPr>
            <w:r>
              <w:t xml:space="preserve">Integrated supply chain</w:t>
            </w:r>
          </w:p>
        </w:tc>
      </w:tr>
    </w:tbl>
    <w:p>
      <w:pPr>
        <w:pStyle w:val="BodyText"/>
      </w:pPr>
      <w:r>
        <w:rPr>
          <w:i/>
          <w:iCs/>
        </w:rPr>
        <w:t xml:space="preserve">Source: QLD AgTrends 2023–24; QLD Government Ministerial Media Statement (August 2024); QLD Department of Primary Industries data. In 2022–23, cattle and calves were valued at over $6B; beef remains Queensland’s single most valuable commodity.</w:t>
      </w:r>
    </w:p>
    <w:p>
      <w:pPr>
        <w:pStyle w:val="BodyText"/>
      </w:pPr>
      <w:r>
        <w:rPr>
          <w:b/>
          <w:bCs/>
        </w:rPr>
        <w:t xml:space="preserve">Queensland production shares of national output (2023–24):</w:t>
      </w:r>
    </w:p>
    <w:p>
      <w:pPr>
        <w:pStyle w:val="Compact"/>
        <w:numPr>
          <w:ilvl w:val="0"/>
          <w:numId w:val="1003"/>
        </w:numPr>
      </w:pPr>
      <w:r>
        <w:t xml:space="preserve">45% of cattle herd</w:t>
      </w:r>
    </w:p>
    <w:p>
      <w:pPr>
        <w:pStyle w:val="Compact"/>
        <w:numPr>
          <w:ilvl w:val="0"/>
          <w:numId w:val="1003"/>
        </w:numPr>
      </w:pPr>
      <w:r>
        <w:t xml:space="preserve">96% of sugar cane</w:t>
      </w:r>
    </w:p>
    <w:p>
      <w:pPr>
        <w:pStyle w:val="Compact"/>
        <w:numPr>
          <w:ilvl w:val="0"/>
          <w:numId w:val="1003"/>
        </w:numPr>
      </w:pPr>
      <w:r>
        <w:t xml:space="preserve">22% of cotton</w:t>
      </w:r>
    </w:p>
    <w:p>
      <w:pPr>
        <w:pStyle w:val="Compact"/>
        <w:numPr>
          <w:ilvl w:val="0"/>
          <w:numId w:val="1003"/>
        </w:numPr>
      </w:pPr>
      <w:r>
        <w:t xml:space="preserve">94% of bananas</w:t>
      </w:r>
    </w:p>
    <w:p>
      <w:pPr>
        <w:pStyle w:val="Compact"/>
        <w:numPr>
          <w:ilvl w:val="0"/>
          <w:numId w:val="1003"/>
        </w:numPr>
      </w:pPr>
      <w:r>
        <w:t xml:space="preserve">68% of macadamias</w:t>
      </w:r>
    </w:p>
    <w:p>
      <w:pPr>
        <w:pStyle w:val="Compact"/>
        <w:numPr>
          <w:ilvl w:val="0"/>
          <w:numId w:val="1003"/>
        </w:numPr>
      </w:pPr>
      <w:r>
        <w:t xml:space="preserve">70% of sweetcorn</w:t>
      </w:r>
    </w:p>
    <w:p>
      <w:pPr>
        <w:pStyle w:val="Compact"/>
        <w:numPr>
          <w:ilvl w:val="0"/>
          <w:numId w:val="1003"/>
        </w:numPr>
      </w:pPr>
      <w:r>
        <w:t xml:space="preserve">61% of lemons and limes</w:t>
      </w:r>
    </w:p>
    <w:p>
      <w:pPr>
        <w:pStyle w:val="Compact"/>
        <w:numPr>
          <w:ilvl w:val="0"/>
          <w:numId w:val="1003"/>
        </w:numPr>
      </w:pPr>
      <w:r>
        <w:t xml:space="preserve">53% of fresh beans and capsicums</w:t>
      </w:r>
    </w:p>
    <w:p>
      <w:pPr>
        <w:pStyle w:val="Compact"/>
        <w:numPr>
          <w:ilvl w:val="0"/>
          <w:numId w:val="1003"/>
        </w:numPr>
      </w:pPr>
      <w:r>
        <w:t xml:space="preserve">46% of mangoes</w:t>
      </w:r>
    </w:p>
    <w:p>
      <w:pPr>
        <w:pStyle w:val="Compact"/>
        <w:numPr>
          <w:ilvl w:val="0"/>
          <w:numId w:val="1003"/>
        </w:numPr>
      </w:pPr>
      <w:r>
        <w:t xml:space="preserve">43% of avocados</w:t>
      </w:r>
    </w:p>
    <w:p>
      <w:pPr>
        <w:pStyle w:val="FirstParagraph"/>
      </w:pPr>
      <w:r>
        <w:rPr>
          <w:i/>
          <w:iCs/>
        </w:rPr>
        <w:t xml:space="preserve">Source: QLD Department of Primary Industries.</w:t>
      </w:r>
    </w:p>
    <w:bookmarkEnd w:id="31"/>
    <w:bookmarkStart w:id="32" w:name="agriculture-as-share-of-gsp"/>
    <w:p>
      <w:pPr>
        <w:pStyle w:val="Heading3"/>
      </w:pPr>
      <w:r>
        <w:t xml:space="preserve">4.3 Agriculture as Share of GSP</w:t>
      </w:r>
    </w:p>
    <w:p>
      <w:pPr>
        <w:pStyle w:val="FirstParagraph"/>
      </w:pPr>
      <w:r>
        <w:t xml:space="preserve">Agriculture, forestry and fishing accounts for approximately 3.5 per cent of Queensland’s GVA — but this understates its economic significance. Including downstream processing (meat, sugar, cotton ginning), transport, and services, the broader agricultural supply chain contributes an estimated 6–8 per cent of Queensland’s total economic activity. Queensland produces almost one-quarter of Australia’s total agricultural output.</w:t>
      </w:r>
    </w:p>
    <w:p>
      <w:r>
        <w:pict>
          <v:rect style="width:0;height:1.5pt" o:hralign="center" o:hrstd="t" o:hr="t"/>
        </w:pict>
      </w:r>
    </w:p>
    <w:bookmarkEnd w:id="32"/>
    <w:bookmarkEnd w:id="33"/>
    <w:bookmarkStart w:id="37" w:name="queensland-tourism"/>
    <w:p>
      <w:pPr>
        <w:pStyle w:val="Heading2"/>
      </w:pPr>
      <w:r>
        <w:t xml:space="preserve">5. Queensland Tourism</w:t>
      </w:r>
    </w:p>
    <w:bookmarkStart w:id="34" w:name="tourism-contribution-to-gsp"/>
    <w:p>
      <w:pPr>
        <w:pStyle w:val="Heading3"/>
      </w:pPr>
      <w:r>
        <w:t xml:space="preserve">5.1 Tourism Contribution to GSP</w:t>
      </w:r>
    </w:p>
    <w:p>
      <w:pPr>
        <w:pStyle w:val="FirstParagraph"/>
      </w:pPr>
      <w:r>
        <w:rPr>
          <w:b/>
          <w:bCs/>
        </w:rPr>
        <w:t xml:space="preserve">Queensland tourism economic contribution, 2023–24</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Measure</w:t>
            </w:r>
          </w:p>
        </w:tc>
        <w:tc>
          <w:tcPr/>
          <w:p>
            <w:pPr>
              <w:pStyle w:val="Compact"/>
              <w:jc w:val="right"/>
            </w:pPr>
            <w:r>
              <w:t xml:space="preserve">Value</w:t>
            </w:r>
          </w:p>
        </w:tc>
        <w:tc>
          <w:tcPr/>
          <w:p>
            <w:pPr>
              <w:pStyle w:val="Compact"/>
              <w:jc w:val="right"/>
            </w:pPr>
            <w:r>
              <w:t xml:space="preserve">% of GSP</w:t>
            </w:r>
          </w:p>
        </w:tc>
      </w:tr>
      <w:tr>
        <w:tc>
          <w:tcPr/>
          <w:p>
            <w:pPr>
              <w:pStyle w:val="Compact"/>
              <w:jc w:val="left"/>
            </w:pPr>
            <w:r>
              <w:t xml:space="preserve">Direct tourism GVA</w:t>
            </w:r>
          </w:p>
        </w:tc>
        <w:tc>
          <w:tcPr/>
          <w:p>
            <w:pPr>
              <w:pStyle w:val="Compact"/>
              <w:jc w:val="right"/>
            </w:pPr>
            <w:r>
              <w:t xml:space="preserve">$15.6–15.7B</w:t>
            </w:r>
          </w:p>
        </w:tc>
        <w:tc>
          <w:tcPr/>
          <w:p>
            <w:pPr>
              <w:pStyle w:val="Compact"/>
              <w:jc w:val="right"/>
            </w:pPr>
            <w:r>
              <w:t xml:space="preserve">3.1%</w:t>
            </w:r>
          </w:p>
        </w:tc>
      </w:tr>
      <w:tr>
        <w:tc>
          <w:tcPr/>
          <w:p>
            <w:pPr>
              <w:pStyle w:val="Compact"/>
              <w:jc w:val="left"/>
            </w:pPr>
            <w:r>
              <w:t xml:space="preserve">Indirect tourism contribution</w:t>
            </w:r>
          </w:p>
        </w:tc>
        <w:tc>
          <w:tcPr/>
          <w:p>
            <w:pPr>
              <w:pStyle w:val="Compact"/>
              <w:jc w:val="right"/>
            </w:pPr>
            <w:r>
              <w:t xml:space="preserve">$16.1B</w:t>
            </w:r>
          </w:p>
        </w:tc>
        <w:tc>
          <w:tcPr/>
          <w:p>
            <w:pPr>
              <w:pStyle w:val="Compact"/>
              <w:jc w:val="right"/>
            </w:pPr>
            <w:r>
              <w:t xml:space="preserve">3.2%</w:t>
            </w:r>
          </w:p>
        </w:tc>
      </w:tr>
      <w:tr>
        <w:tc>
          <w:tcPr/>
          <w:p>
            <w:pPr>
              <w:pStyle w:val="Compact"/>
              <w:jc w:val="left"/>
            </w:pPr>
            <w:r>
              <w:rPr>
                <w:b/>
                <w:bCs/>
              </w:rPr>
              <w:t xml:space="preserve">Total tourism contribution</w:t>
            </w:r>
          </w:p>
        </w:tc>
        <w:tc>
          <w:tcPr/>
          <w:p>
            <w:pPr>
              <w:pStyle w:val="Compact"/>
              <w:jc w:val="right"/>
            </w:pPr>
            <w:r>
              <w:rPr>
                <w:b/>
                <w:bCs/>
              </w:rPr>
              <w:t xml:space="preserve">$31.7–31.8B</w:t>
            </w:r>
          </w:p>
        </w:tc>
        <w:tc>
          <w:tcPr/>
          <w:p>
            <w:pPr>
              <w:pStyle w:val="Compact"/>
              <w:jc w:val="right"/>
            </w:pPr>
            <w:r>
              <w:rPr>
                <w:b/>
                <w:bCs/>
              </w:rPr>
              <w:t xml:space="preserve">6.3%</w:t>
            </w:r>
          </w:p>
        </w:tc>
      </w:tr>
      <w:tr>
        <w:tc>
          <w:tcPr/>
          <w:p>
            <w:pPr>
              <w:pStyle w:val="Compact"/>
              <w:jc w:val="left"/>
            </w:pPr>
            <w:r>
              <w:t xml:space="preserve">Direct tourism employment</w:t>
            </w:r>
          </w:p>
        </w:tc>
        <w:tc>
          <w:tcPr/>
          <w:p>
            <w:pPr>
              <w:pStyle w:val="Compact"/>
              <w:jc w:val="right"/>
            </w:pPr>
            <w:r>
              <w:t xml:space="preserve">156,000 jobs</w:t>
            </w:r>
          </w:p>
        </w:tc>
        <w:tc>
          <w:tcPr/>
          <w:p>
            <w:pPr>
              <w:pStyle w:val="Compact"/>
              <w:jc w:val="right"/>
            </w:pPr>
            <w:r>
              <w:t xml:space="preserve">—</w:t>
            </w:r>
          </w:p>
        </w:tc>
      </w:tr>
      <w:tr>
        <w:tc>
          <w:tcPr/>
          <w:p>
            <w:pPr>
              <w:pStyle w:val="Compact"/>
              <w:jc w:val="left"/>
            </w:pPr>
            <w:r>
              <w:t xml:space="preserve">QLD share of national tourism output</w:t>
            </w:r>
          </w:p>
        </w:tc>
        <w:tc>
          <w:tcPr/>
          <w:p>
            <w:pPr>
              <w:pStyle w:val="Compact"/>
              <w:jc w:val="right"/>
            </w:pPr>
            <w:r>
              <w:t xml:space="preserve">—</w:t>
            </w:r>
          </w:p>
        </w:tc>
        <w:tc>
          <w:tcPr/>
          <w:p>
            <w:pPr>
              <w:pStyle w:val="Compact"/>
              <w:jc w:val="right"/>
            </w:pPr>
            <w:r>
              <w:t xml:space="preserve">23.8%</w:t>
            </w:r>
          </w:p>
        </w:tc>
      </w:tr>
    </w:tbl>
    <w:p>
      <w:pPr>
        <w:pStyle w:val="BodyText"/>
      </w:pPr>
      <w:r>
        <w:rPr>
          <w:i/>
          <w:iCs/>
        </w:rPr>
        <w:t xml:space="preserve">Source: Tourism Research Australia State Tourism Satellite Account (year ended June 2023); Tourism &amp; Events Queensland Tourism Economic Key Facts (March 2025 and September 2025 updates); QLD Treasury.</w:t>
      </w:r>
    </w:p>
    <w:bookmarkEnd w:id="34"/>
    <w:bookmarkStart w:id="35" w:name="great-barrier-reef-tourism"/>
    <w:p>
      <w:pPr>
        <w:pStyle w:val="Heading3"/>
      </w:pPr>
      <w:r>
        <w:t xml:space="preserve">5.2 Great Barrier Reef Tourism</w:t>
      </w:r>
    </w:p>
    <w:p>
      <w:pPr>
        <w:pStyle w:val="FirstParagraph"/>
      </w:pPr>
      <w:r>
        <w:rPr>
          <w:b/>
          <w:bCs/>
        </w:rPr>
        <w:t xml:space="preserve">Great Barrier Reef tourism economic contribution, 2024</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Measure</w:t>
            </w:r>
          </w:p>
        </w:tc>
        <w:tc>
          <w:tcPr/>
          <w:p>
            <w:pPr>
              <w:pStyle w:val="Compact"/>
              <w:jc w:val="right"/>
            </w:pPr>
            <w:r>
              <w:t xml:space="preserve">Value</w:t>
            </w:r>
          </w:p>
        </w:tc>
      </w:tr>
      <w:tr>
        <w:tc>
          <w:tcPr/>
          <w:p>
            <w:pPr>
              <w:pStyle w:val="Compact"/>
              <w:jc w:val="left"/>
            </w:pPr>
            <w:r>
              <w:t xml:space="preserve">Direct tourism spending</w:t>
            </w:r>
          </w:p>
        </w:tc>
        <w:tc>
          <w:tcPr/>
          <w:p>
            <w:pPr>
              <w:pStyle w:val="Compact"/>
              <w:jc w:val="right"/>
            </w:pPr>
            <w:r>
              <w:t xml:space="preserve">$6.4B</w:t>
            </w:r>
          </w:p>
        </w:tc>
      </w:tr>
      <w:tr>
        <w:tc>
          <w:tcPr/>
          <w:p>
            <w:pPr>
              <w:pStyle w:val="Compact"/>
              <w:jc w:val="left"/>
            </w:pPr>
            <w:r>
              <w:t xml:space="preserve">— of which domestic</w:t>
            </w:r>
          </w:p>
        </w:tc>
        <w:tc>
          <w:tcPr/>
          <w:p>
            <w:pPr>
              <w:pStyle w:val="Compact"/>
              <w:jc w:val="right"/>
            </w:pPr>
            <w:r>
              <w:t xml:space="preserve">$4.48B (70%)</w:t>
            </w:r>
          </w:p>
        </w:tc>
      </w:tr>
      <w:tr>
        <w:tc>
          <w:tcPr/>
          <w:p>
            <w:pPr>
              <w:pStyle w:val="Compact"/>
              <w:jc w:val="left"/>
            </w:pPr>
            <w:r>
              <w:t xml:space="preserve">— of which international</w:t>
            </w:r>
          </w:p>
        </w:tc>
        <w:tc>
          <w:tcPr/>
          <w:p>
            <w:pPr>
              <w:pStyle w:val="Compact"/>
              <w:jc w:val="right"/>
            </w:pPr>
            <w:r>
              <w:t xml:space="preserve">$1.92B (30%)</w:t>
            </w:r>
          </w:p>
        </w:tc>
      </w:tr>
      <w:tr>
        <w:tc>
          <w:tcPr/>
          <w:p>
            <w:pPr>
              <w:pStyle w:val="Compact"/>
              <w:jc w:val="left"/>
            </w:pPr>
            <w:r>
              <w:t xml:space="preserve">Total annual economic contribution (broader)</w:t>
            </w:r>
          </w:p>
        </w:tc>
        <w:tc>
          <w:tcPr/>
          <w:p>
            <w:pPr>
              <w:pStyle w:val="Compact"/>
              <w:jc w:val="right"/>
            </w:pPr>
            <w:r>
              <w:t xml:space="preserve">$7.9B</w:t>
            </w:r>
          </w:p>
        </w:tc>
      </w:tr>
      <w:tr>
        <w:tc>
          <w:tcPr/>
          <w:p>
            <w:pPr>
              <w:pStyle w:val="Compact"/>
              <w:jc w:val="left"/>
            </w:pPr>
            <w:r>
              <w:t xml:space="preserve">Daily contribution to QLD economy</w:t>
            </w:r>
          </w:p>
        </w:tc>
        <w:tc>
          <w:tcPr/>
          <w:p>
            <w:pPr>
              <w:pStyle w:val="Compact"/>
              <w:jc w:val="right"/>
            </w:pPr>
            <w:r>
              <w:t xml:space="preserve">$17.5M</w:t>
            </w:r>
          </w:p>
        </w:tc>
      </w:tr>
      <w:tr>
        <w:tc>
          <w:tcPr/>
          <w:p>
            <w:pPr>
              <w:pStyle w:val="Compact"/>
              <w:jc w:val="left"/>
            </w:pPr>
            <w:r>
              <w:t xml:space="preserve">Employment (direct + indirect)</w:t>
            </w:r>
          </w:p>
        </w:tc>
        <w:tc>
          <w:tcPr/>
          <w:p>
            <w:pPr>
              <w:pStyle w:val="Compact"/>
              <w:jc w:val="right"/>
            </w:pPr>
            <w:r>
              <w:t xml:space="preserve">64,000+ jobs</w:t>
            </w:r>
          </w:p>
        </w:tc>
      </w:tr>
      <w:tr>
        <w:tc>
          <w:tcPr/>
          <w:p>
            <w:pPr>
              <w:pStyle w:val="Compact"/>
              <w:jc w:val="left"/>
            </w:pPr>
            <w:r>
              <w:t xml:space="preserve">QLD leisure tourism linked to Reef</w:t>
            </w:r>
          </w:p>
        </w:tc>
        <w:tc>
          <w:tcPr/>
          <w:p>
            <w:pPr>
              <w:pStyle w:val="Compact"/>
              <w:jc w:val="right"/>
            </w:pPr>
            <w:r>
              <w:t xml:space="preserve">~30%</w:t>
            </w:r>
          </w:p>
        </w:tc>
      </w:tr>
    </w:tbl>
    <w:p>
      <w:pPr>
        <w:pStyle w:val="BodyText"/>
      </w:pPr>
      <w:r>
        <w:rPr>
          <w:i/>
          <w:iCs/>
        </w:rPr>
        <w:t xml:space="preserve">Source: Great Barrier Reef Outlook Report 2024 (GBRMPA); Great Barrier Reef Foundation</w:t>
      </w:r>
      <w:r>
        <w:rPr>
          <w:i/>
          <w:iCs/>
        </w:rPr>
        <w:t xml:space="preserve"> </w:t>
      </w:r>
      <w:r>
        <w:rPr>
          <w:i/>
          <w:iCs/>
        </w:rPr>
        <w:t xml:space="preserve">“Value of the Reef”</w:t>
      </w:r>
      <w:r>
        <w:rPr>
          <w:i/>
          <w:iCs/>
        </w:rPr>
        <w:t xml:space="preserve"> </w:t>
      </w:r>
      <w:r>
        <w:rPr>
          <w:i/>
          <w:iCs/>
        </w:rPr>
        <w:t xml:space="preserve">report 2024.</w:t>
      </w:r>
    </w:p>
    <w:p>
      <w:pPr>
        <w:pStyle w:val="BodyText"/>
      </w:pPr>
      <w:r>
        <w:t xml:space="preserve">The GBR’s total assessed value (including non-use values — cultural, existence, bequest) was estimated at $95 billion in a 2024 report commissioned by the Great Barrier Reef Foundation. However, for GSP accounting purposes, the direct tourism GVA of $6.4 billion is the relevant figure.</w:t>
      </w:r>
    </w:p>
    <w:bookmarkEnd w:id="35"/>
    <w:bookmarkStart w:id="36" w:name="tourism-climate-vulnerability"/>
    <w:p>
      <w:pPr>
        <w:pStyle w:val="Heading3"/>
      </w:pPr>
      <w:r>
        <w:t xml:space="preserve">5.3 Tourism Climate Vulnerability</w:t>
      </w:r>
    </w:p>
    <w:p>
      <w:pPr>
        <w:pStyle w:val="FirstParagraph"/>
      </w:pPr>
      <w:r>
        <w:t xml:space="preserve">Queensland tourism is directly exposed to climate change through multiple channels:</w:t>
      </w:r>
    </w:p>
    <w:p>
      <w:pPr>
        <w:pStyle w:val="Compact"/>
        <w:numPr>
          <w:ilvl w:val="0"/>
          <w:numId w:val="1004"/>
        </w:numPr>
      </w:pPr>
      <w:r>
        <w:rPr>
          <w:b/>
          <w:bCs/>
        </w:rPr>
        <w:t xml:space="preserve">Coral bleaching</w:t>
      </w:r>
      <w:r>
        <w:t xml:space="preserve">: Mass bleaching events (2016, 2017, 2020, 2022, 2024, 2025) threaten the GBR’s appeal and $6.4B in direct tourism spend.</w:t>
      </w:r>
    </w:p>
    <w:p>
      <w:pPr>
        <w:pStyle w:val="Compact"/>
        <w:numPr>
          <w:ilvl w:val="0"/>
          <w:numId w:val="1004"/>
        </w:numPr>
      </w:pPr>
      <w:r>
        <w:rPr>
          <w:b/>
          <w:bCs/>
        </w:rPr>
        <w:t xml:space="preserve">Cyclones</w:t>
      </w:r>
      <w:r>
        <w:t xml:space="preserve">: Cyclone impacts on resort infrastructure (Whitsundays, Far North QLD) disrupt visitor flows.</w:t>
      </w:r>
    </w:p>
    <w:p>
      <w:pPr>
        <w:pStyle w:val="Compact"/>
        <w:numPr>
          <w:ilvl w:val="0"/>
          <w:numId w:val="1004"/>
        </w:numPr>
      </w:pPr>
      <w:r>
        <w:rPr>
          <w:b/>
          <w:bCs/>
        </w:rPr>
        <w:t xml:space="preserve">Extreme heat</w:t>
      </w:r>
      <w:r>
        <w:t xml:space="preserve">: Increasing frequency of extreme heat days in inland and northern Queensland affects visitor comfort and outdoor activity.</w:t>
      </w:r>
    </w:p>
    <w:p>
      <w:pPr>
        <w:pStyle w:val="Compact"/>
        <w:numPr>
          <w:ilvl w:val="0"/>
          <w:numId w:val="1004"/>
        </w:numPr>
      </w:pPr>
      <w:r>
        <w:rPr>
          <w:b/>
          <w:bCs/>
        </w:rPr>
        <w:t xml:space="preserve">Flooding</w:t>
      </w:r>
      <w:r>
        <w:t xml:space="preserve">: Road access disruptions to tourist destinations (Daintree, outback QLD) reduce visitation.</w:t>
      </w:r>
    </w:p>
    <w:p>
      <w:r>
        <w:pict>
          <v:rect style="width:0;height:1.5pt" o:hralign="center" o:hrstd="t" o:hr="t"/>
        </w:pict>
      </w:r>
    </w:p>
    <w:bookmarkEnd w:id="36"/>
    <w:bookmarkEnd w:id="37"/>
    <w:bookmarkStart w:id="42" w:name="disaster-costs-as-a-share-of-gsp"/>
    <w:p>
      <w:pPr>
        <w:pStyle w:val="Heading2"/>
      </w:pPr>
      <w:r>
        <w:t xml:space="preserve">6. Disaster Costs as a Share of GSP</w:t>
      </w:r>
    </w:p>
    <w:bookmarkStart w:id="38" w:name="queenslands-disaster-cost-burden"/>
    <w:p>
      <w:pPr>
        <w:pStyle w:val="Heading3"/>
      </w:pPr>
      <w:r>
        <w:t xml:space="preserve">6.1 Queensland’s Disaster Cost Burden</w:t>
      </w:r>
    </w:p>
    <w:p>
      <w:pPr>
        <w:pStyle w:val="FirstParagraph"/>
      </w:pPr>
      <w:r>
        <w:rPr>
          <w:b/>
          <w:bCs/>
        </w:rPr>
        <w:t xml:space="preserve">Queensland natural disaster costs, summary statistics</w:t>
      </w:r>
    </w:p>
    <w:tbl>
      <w:tblPr>
        <w:tblStyle w:val="Table"/>
        <w:tblW w:type="pct" w:w="5000"/>
        <w:tblLayout w:type="fixed"/>
        <w:tblLook w:firstRow="1" w:lastRow="0" w:firstColumn="0" w:lastColumn="0" w:noHBand="0" w:noVBand="0" w:val="0020"/>
      </w:tblPr>
      <w:tblGrid>
        <w:gridCol w:w="2880"/>
        <w:gridCol w:w="2520"/>
        <w:gridCol w:w="2520"/>
      </w:tblGrid>
      <w:tr>
        <w:trPr>
          <w:tblHeader w:val="on"/>
        </w:trPr>
        <w:tc>
          <w:tcPr/>
          <w:p>
            <w:pPr>
              <w:pStyle w:val="Compact"/>
              <w:jc w:val="left"/>
            </w:pPr>
            <w:r>
              <w:t xml:space="preserve">Metric</w:t>
            </w:r>
          </w:p>
        </w:tc>
        <w:tc>
          <w:tcPr/>
          <w:p>
            <w:pPr>
              <w:pStyle w:val="Compact"/>
              <w:jc w:val="right"/>
            </w:pPr>
            <w:r>
              <w:t xml:space="preserve">Value</w:t>
            </w:r>
          </w:p>
        </w:tc>
        <w:tc>
          <w:tcPr/>
          <w:p>
            <w:pPr>
              <w:pStyle w:val="Compact"/>
              <w:jc w:val="left"/>
            </w:pPr>
            <w:r>
              <w:t xml:space="preserve">Source</w:t>
            </w:r>
          </w:p>
        </w:tc>
      </w:tr>
      <w:tr>
        <w:tc>
          <w:tcPr/>
          <w:p>
            <w:pPr>
              <w:pStyle w:val="Compact"/>
              <w:jc w:val="left"/>
            </w:pPr>
            <w:r>
              <w:t xml:space="preserve">QLD share of national disaster costs</w:t>
            </w:r>
          </w:p>
        </w:tc>
        <w:tc>
          <w:tcPr/>
          <w:p>
            <w:pPr>
              <w:pStyle w:val="Compact"/>
              <w:jc w:val="right"/>
            </w:pPr>
            <w:r>
              <w:t xml:space="preserve">60%</w:t>
            </w:r>
          </w:p>
        </w:tc>
        <w:tc>
          <w:tcPr/>
          <w:p>
            <w:pPr>
              <w:pStyle w:val="Compact"/>
              <w:jc w:val="left"/>
            </w:pPr>
            <w:r>
              <w:t xml:space="preserve">Climate Council; Deloitte Access Economics</w:t>
            </w:r>
          </w:p>
        </w:tc>
      </w:tr>
      <w:tr>
        <w:tc>
          <w:tcPr/>
          <w:p>
            <w:pPr>
              <w:pStyle w:val="Compact"/>
              <w:jc w:val="left"/>
            </w:pPr>
            <w:r>
              <w:t xml:space="preserve">QLD average annual disaster cost (past decade)</w:t>
            </w:r>
          </w:p>
        </w:tc>
        <w:tc>
          <w:tcPr/>
          <w:p>
            <w:pPr>
              <w:pStyle w:val="Compact"/>
              <w:jc w:val="right"/>
            </w:pPr>
            <w:r>
              <w:t xml:space="preserve">~$11B</w:t>
            </w:r>
          </w:p>
        </w:tc>
        <w:tc>
          <w:tcPr/>
          <w:p>
            <w:pPr>
              <w:pStyle w:val="Compact"/>
              <w:jc w:val="left"/>
            </w:pPr>
            <w:r>
              <w:t xml:space="preserve">Deloitte Access Economics</w:t>
            </w:r>
          </w:p>
        </w:tc>
      </w:tr>
      <w:tr>
        <w:tc>
          <w:tcPr/>
          <w:p>
            <w:pPr>
              <w:pStyle w:val="Compact"/>
              <w:jc w:val="left"/>
            </w:pPr>
            <w:r>
              <w:t xml:space="preserve">QRA cumulative disaster program (2011–2025)</w:t>
            </w:r>
          </w:p>
        </w:tc>
        <w:tc>
          <w:tcPr/>
          <w:p>
            <w:pPr>
              <w:pStyle w:val="Compact"/>
              <w:jc w:val="right"/>
            </w:pPr>
            <w:r>
              <w:t xml:space="preserve">$29B</w:t>
            </w:r>
          </w:p>
        </w:tc>
        <w:tc>
          <w:tcPr/>
          <w:p>
            <w:pPr>
              <w:pStyle w:val="Compact"/>
              <w:jc w:val="left"/>
            </w:pPr>
            <w:r>
              <w:t xml:space="preserve">QRA Annual Report 2024–25</w:t>
            </w:r>
          </w:p>
        </w:tc>
      </w:tr>
      <w:tr>
        <w:tc>
          <w:tcPr/>
          <w:p>
            <w:pPr>
              <w:pStyle w:val="Compact"/>
              <w:jc w:val="left"/>
            </w:pPr>
            <w:r>
              <w:t xml:space="preserve">Estimated total QLD disaster costs (2010–2025)</w:t>
            </w:r>
          </w:p>
        </w:tc>
        <w:tc>
          <w:tcPr/>
          <w:p>
            <w:pPr>
              <w:pStyle w:val="Compact"/>
              <w:jc w:val="right"/>
            </w:pPr>
            <w:r>
              <w:t xml:space="preserve">$50–70B</w:t>
            </w:r>
          </w:p>
        </w:tc>
        <w:tc>
          <w:tcPr/>
          <w:p>
            <w:pPr>
              <w:pStyle w:val="Compact"/>
              <w:jc w:val="left"/>
            </w:pPr>
            <w:r>
              <w:t xml:space="preserve">Author synthesis (see below)</w:t>
            </w:r>
          </w:p>
        </w:tc>
      </w:tr>
    </w:tbl>
    <w:bookmarkEnd w:id="38"/>
    <w:bookmarkStart w:id="39" w:name="disaster-costs-relative-to-gsp"/>
    <w:p>
      <w:pPr>
        <w:pStyle w:val="Heading3"/>
      </w:pPr>
      <w:r>
        <w:t xml:space="preserve">6.2 Disaster Costs Relative to GSP</w:t>
      </w:r>
    </w:p>
    <w:p>
      <w:pPr>
        <w:pStyle w:val="FirstParagraph"/>
      </w:pPr>
      <w:r>
        <w:rPr>
          <w:b/>
          <w:bCs/>
        </w:rPr>
        <w:t xml:space="preserve">Disaster costs as percentage of Queensland GSP</w:t>
      </w:r>
    </w:p>
    <w:tbl>
      <w:tblPr>
        <w:tblStyle w:val="Table"/>
        <w:tblW w:type="pct" w:w="5000"/>
        <w:tblLayout w:type="fixed"/>
        <w:tblLook w:firstRow="1" w:lastRow="0" w:firstColumn="0" w:lastColumn="0" w:noHBand="0" w:noVBand="0" w:val="0020"/>
      </w:tblPr>
      <w:tblGrid>
        <w:gridCol w:w="2077"/>
        <w:gridCol w:w="2726"/>
        <w:gridCol w:w="1817"/>
        <w:gridCol w:w="1298"/>
      </w:tblGrid>
      <w:tr>
        <w:trPr>
          <w:tblHeader w:val="on"/>
        </w:trPr>
        <w:tc>
          <w:tcPr/>
          <w:p>
            <w:pPr>
              <w:pStyle w:val="Compact"/>
              <w:jc w:val="left"/>
            </w:pPr>
            <w:r>
              <w:t xml:space="preserve">Period / Event</w:t>
            </w:r>
          </w:p>
        </w:tc>
        <w:tc>
          <w:tcPr/>
          <w:p>
            <w:pPr>
              <w:pStyle w:val="Compact"/>
              <w:jc w:val="right"/>
            </w:pPr>
            <w:r>
              <w:t xml:space="preserve">Disaster Cost ($B)</w:t>
            </w:r>
          </w:p>
        </w:tc>
        <w:tc>
          <w:tcPr/>
          <w:p>
            <w:pPr>
              <w:pStyle w:val="Compact"/>
              <w:jc w:val="right"/>
            </w:pPr>
            <w:r>
              <w:t xml:space="preserve">QLD GSP ($B)</w:t>
            </w:r>
          </w:p>
        </w:tc>
        <w:tc>
          <w:tcPr/>
          <w:p>
            <w:pPr>
              <w:pStyle w:val="Compact"/>
              <w:jc w:val="right"/>
            </w:pPr>
            <w:r>
              <w:t xml:space="preserve">Cost as % of GSP</w:t>
            </w:r>
          </w:p>
        </w:tc>
      </w:tr>
      <w:tr>
        <w:tc>
          <w:tcPr/>
          <w:p>
            <w:pPr>
              <w:pStyle w:val="Compact"/>
              <w:jc w:val="left"/>
            </w:pPr>
            <w:r>
              <w:t xml:space="preserve">2010–11 (floods + Yasi)</w:t>
            </w:r>
          </w:p>
        </w:tc>
        <w:tc>
          <w:tcPr/>
          <w:p>
            <w:pPr>
              <w:pStyle w:val="Compact"/>
              <w:jc w:val="right"/>
            </w:pPr>
            <w:r>
              <w:t xml:space="preserve">~16</w:t>
            </w:r>
          </w:p>
        </w:tc>
        <w:tc>
          <w:tcPr/>
          <w:p>
            <w:pPr>
              <w:pStyle w:val="Compact"/>
              <w:jc w:val="right"/>
            </w:pPr>
            <w:r>
              <w:t xml:space="preserve">~275</w:t>
            </w:r>
          </w:p>
        </w:tc>
        <w:tc>
          <w:tcPr/>
          <w:p>
            <w:pPr>
              <w:pStyle w:val="Compact"/>
              <w:jc w:val="right"/>
            </w:pPr>
            <w:r>
              <w:t xml:space="preserve">~5.8%</w:t>
            </w:r>
          </w:p>
        </w:tc>
      </w:tr>
      <w:tr>
        <w:tc>
          <w:tcPr/>
          <w:p>
            <w:pPr>
              <w:pStyle w:val="Compact"/>
              <w:jc w:val="left"/>
            </w:pPr>
            <w:r>
              <w:t xml:space="preserve">Annual average (2011–2025, QRA only)</w:t>
            </w:r>
          </w:p>
        </w:tc>
        <w:tc>
          <w:tcPr/>
          <w:p>
            <w:pPr>
              <w:pStyle w:val="Compact"/>
              <w:jc w:val="right"/>
            </w:pPr>
            <w:r>
              <w:t xml:space="preserve">~2.1</w:t>
            </w:r>
          </w:p>
        </w:tc>
        <w:tc>
          <w:tcPr/>
          <w:p>
            <w:pPr>
              <w:pStyle w:val="Compact"/>
              <w:jc w:val="right"/>
            </w:pPr>
            <w:r>
              <w:t xml:space="preserve">~400 (avg)</w:t>
            </w:r>
          </w:p>
        </w:tc>
        <w:tc>
          <w:tcPr/>
          <w:p>
            <w:pPr>
              <w:pStyle w:val="Compact"/>
              <w:jc w:val="right"/>
            </w:pPr>
            <w:r>
              <w:t xml:space="preserve">~0.5%</w:t>
            </w:r>
          </w:p>
        </w:tc>
      </w:tr>
      <w:tr>
        <w:tc>
          <w:tcPr/>
          <w:p>
            <w:pPr>
              <w:pStyle w:val="Compact"/>
              <w:jc w:val="left"/>
            </w:pPr>
            <w:r>
              <w:t xml:space="preserve">Annual average (total economic cost)</w:t>
            </w:r>
          </w:p>
        </w:tc>
        <w:tc>
          <w:tcPr/>
          <w:p>
            <w:pPr>
              <w:pStyle w:val="Compact"/>
              <w:jc w:val="right"/>
            </w:pPr>
            <w:r>
              <w:t xml:space="preserve">~4–5</w:t>
            </w:r>
          </w:p>
        </w:tc>
        <w:tc>
          <w:tcPr/>
          <w:p>
            <w:pPr>
              <w:pStyle w:val="Compact"/>
              <w:jc w:val="right"/>
            </w:pPr>
            <w:r>
              <w:t xml:space="preserve">~400 (avg)</w:t>
            </w:r>
          </w:p>
        </w:tc>
        <w:tc>
          <w:tcPr/>
          <w:p>
            <w:pPr>
              <w:pStyle w:val="Compact"/>
              <w:jc w:val="right"/>
            </w:pPr>
            <w:r>
              <w:t xml:space="preserve">~1.0–1.3%</w:t>
            </w:r>
          </w:p>
        </w:tc>
      </w:tr>
      <w:tr>
        <w:tc>
          <w:tcPr/>
          <w:p>
            <w:pPr>
              <w:pStyle w:val="Compact"/>
              <w:jc w:val="left"/>
            </w:pPr>
            <w:r>
              <w:t xml:space="preserve">2022 (SE QLD floods)</w:t>
            </w:r>
          </w:p>
        </w:tc>
        <w:tc>
          <w:tcPr/>
          <w:p>
            <w:pPr>
              <w:pStyle w:val="Compact"/>
              <w:jc w:val="right"/>
            </w:pPr>
            <w:r>
              <w:t xml:space="preserve">~5+</w:t>
            </w:r>
          </w:p>
        </w:tc>
        <w:tc>
          <w:tcPr/>
          <w:p>
            <w:pPr>
              <w:pStyle w:val="Compact"/>
              <w:jc w:val="right"/>
            </w:pPr>
            <w:r>
              <w:t xml:space="preserve">~425</w:t>
            </w:r>
          </w:p>
        </w:tc>
        <w:tc>
          <w:tcPr/>
          <w:p>
            <w:pPr>
              <w:pStyle w:val="Compact"/>
              <w:jc w:val="right"/>
            </w:pPr>
            <w:r>
              <w:t xml:space="preserve">~1.2%</w:t>
            </w:r>
          </w:p>
        </w:tc>
      </w:tr>
      <w:tr>
        <w:tc>
          <w:tcPr/>
          <w:p>
            <w:pPr>
              <w:pStyle w:val="Compact"/>
              <w:jc w:val="left"/>
            </w:pPr>
            <w:r>
              <w:t xml:space="preserve">Projected 2050 (annual)</w:t>
            </w:r>
          </w:p>
        </w:tc>
        <w:tc>
          <w:tcPr/>
          <w:p>
            <w:pPr>
              <w:pStyle w:val="Compact"/>
              <w:jc w:val="right"/>
            </w:pPr>
            <w:r>
              <w:t xml:space="preserve">18</w:t>
            </w:r>
          </w:p>
        </w:tc>
        <w:tc>
          <w:tcPr/>
          <w:p>
            <w:pPr>
              <w:pStyle w:val="Compact"/>
              <w:jc w:val="right"/>
            </w:pPr>
            <w:r>
              <w:t xml:space="preserve">~800 (proj.)</w:t>
            </w:r>
          </w:p>
        </w:tc>
        <w:tc>
          <w:tcPr/>
          <w:p>
            <w:pPr>
              <w:pStyle w:val="Compact"/>
              <w:jc w:val="right"/>
            </w:pPr>
            <w:r>
              <w:t xml:space="preserve">~2.3%</w:t>
            </w:r>
          </w:p>
        </w:tc>
      </w:tr>
      <w:tr>
        <w:tc>
          <w:tcPr/>
          <w:p>
            <w:pPr>
              <w:pStyle w:val="Compact"/>
              <w:jc w:val="left"/>
            </w:pPr>
            <w:r>
              <w:t xml:space="preserve">National average (all Australia, 10yr to 2016)</w:t>
            </w:r>
          </w:p>
        </w:tc>
        <w:tc>
          <w:tcPr/>
          <w:p>
            <w:pPr>
              <w:pStyle w:val="Compact"/>
              <w:jc w:val="right"/>
            </w:pPr>
            <w:r>
              <w:t xml:space="preserve">18.2</w:t>
            </w:r>
          </w:p>
        </w:tc>
        <w:tc>
          <w:tcPr/>
          <w:p>
            <w:pPr>
              <w:pStyle w:val="Compact"/>
              <w:jc w:val="right"/>
            </w:pPr>
            <w:r>
              <w:t xml:space="preserve">1,600 (GDP)</w:t>
            </w:r>
          </w:p>
        </w:tc>
        <w:tc>
          <w:tcPr/>
          <w:p>
            <w:pPr>
              <w:pStyle w:val="Compact"/>
              <w:jc w:val="right"/>
            </w:pPr>
            <w:r>
              <w:t xml:space="preserve">1.2%</w:t>
            </w:r>
          </w:p>
        </w:tc>
      </w:tr>
    </w:tbl>
    <w:p>
      <w:pPr>
        <w:pStyle w:val="BodyText"/>
      </w:pPr>
      <w:r>
        <w:rPr>
          <w:i/>
          <w:iCs/>
        </w:rPr>
        <w:t xml:space="preserve">Source: Author calculations using disaster cost data from Deloitte Access Economics, QRA, ICA, World Bank; GSP data from ABS/DFAT. The 2010–11 cost (~A$16B) is based on the World Bank assessment of US$15.9B in total damages and economic losses.</w:t>
      </w:r>
    </w:p>
    <w:p>
      <w:pPr>
        <w:pStyle w:val="BodyText"/>
      </w:pPr>
      <w:r>
        <w:rPr>
          <w:b/>
          <w:bCs/>
        </w:rPr>
        <w:t xml:space="preserve">Key findings:</w:t>
      </w:r>
    </w:p>
    <w:p>
      <w:pPr>
        <w:numPr>
          <w:ilvl w:val="0"/>
          <w:numId w:val="1005"/>
        </w:numPr>
      </w:pPr>
      <w:r>
        <w:rPr>
          <w:b/>
          <w:bCs/>
        </w:rPr>
        <w:t xml:space="preserve">In a bad year, disaster costs can reach 5–6 per cent of GSP.</w:t>
      </w:r>
      <w:r>
        <w:t xml:space="preserve"> </w:t>
      </w:r>
      <w:r>
        <w:t xml:space="preserve">The 2010–11 floods and Cyclone Yasi cost approximately $16 billion (World Bank estimate), against a nominal GSP of approximately $275 billion — roughly 5.8 per cent of annual economic output.</w:t>
      </w:r>
    </w:p>
    <w:p>
      <w:pPr>
        <w:numPr>
          <w:ilvl w:val="0"/>
          <w:numId w:val="1005"/>
        </w:numPr>
      </w:pPr>
      <w:r>
        <w:rPr>
          <w:b/>
          <w:bCs/>
        </w:rPr>
        <w:t xml:space="preserve">On average, disaster costs run at approximately 1.0–1.3 per cent of GSP.</w:t>
      </w:r>
      <w:r>
        <w:t xml:space="preserve"> </w:t>
      </w:r>
      <w:r>
        <w:t xml:space="preserve">With total economic costs averaging approximately $4–5 billion per year and average GSP over the period of approximately $400 billion, the ongoing disaster cost burden is around 1.0–1.3 per cent of GSP. This is consistent with the national average of 1.2 per cent of GDP reported by Deloitte Access Economics.</w:t>
      </w:r>
    </w:p>
    <w:p>
      <w:pPr>
        <w:numPr>
          <w:ilvl w:val="0"/>
          <w:numId w:val="1005"/>
        </w:numPr>
      </w:pPr>
      <w:r>
        <w:rPr>
          <w:b/>
          <w:bCs/>
        </w:rPr>
        <w:t xml:space="preserve">The ratio is projected to worsen.</w:t>
      </w:r>
      <w:r>
        <w:t xml:space="preserve"> </w:t>
      </w:r>
      <w:r>
        <w:t xml:space="preserve">Deloitte projects Queensland’s annual disaster costs reaching $18 billion by 2050 (growing at 3.3 per cent per year). If GSP grows at 4–5 per cent nominal, the disaster cost share remains approximately 2.0–2.5 per cent of GSP — nearly double the current level.</w:t>
      </w:r>
    </w:p>
    <w:p>
      <w:pPr>
        <w:numPr>
          <w:ilvl w:val="0"/>
          <w:numId w:val="1005"/>
        </w:numPr>
      </w:pPr>
      <w:r>
        <w:rPr>
          <w:b/>
          <w:bCs/>
        </w:rPr>
        <w:t xml:space="preserve">GSP growth is directly impaired in disaster years.</w:t>
      </w:r>
      <w:r>
        <w:t xml:space="preserve"> </w:t>
      </w:r>
      <w:r>
        <w:t xml:space="preserve">The 2010–11 floods reduced Queensland’s real GSP growth to 0.2 per cent, approximately 2–3 percentage points below trend. This represents approximately $5–8 billion in foregone output on top of direct damage costs.</w:t>
      </w:r>
    </w:p>
    <w:bookmarkEnd w:id="39"/>
    <w:bookmarkStart w:id="40" w:name="X1ff29763dd5adfe8607249bdf05b289f1f3f24a"/>
    <w:p>
      <w:pPr>
        <w:pStyle w:val="Heading3"/>
      </w:pPr>
      <w:r>
        <w:t xml:space="preserve">6.3 Major Disaster Events and Economic Impact</w:t>
      </w:r>
    </w:p>
    <w:p>
      <w:pPr>
        <w:pStyle w:val="FirstParagraph"/>
      </w:pPr>
      <w:r>
        <w:rPr>
          <w:b/>
          <w:bCs/>
        </w:rPr>
        <w:t xml:space="preserve">Queensland’s costliest natural disaster events since 2010</w:t>
      </w:r>
    </w:p>
    <w:tbl>
      <w:tblPr>
        <w:tblStyle w:val="Table"/>
        <w:tblW w:type="pct" w:w="5000"/>
        <w:tblLayout w:type="fixed"/>
        <w:tblLook w:firstRow="1" w:lastRow="0" w:firstColumn="0" w:lastColumn="0" w:noHBand="0" w:noVBand="0" w:val="0020"/>
      </w:tblPr>
      <w:tblGrid>
        <w:gridCol w:w="1179"/>
        <w:gridCol w:w="1011"/>
        <w:gridCol w:w="3707"/>
        <w:gridCol w:w="2022"/>
      </w:tblGrid>
      <w:tr>
        <w:trPr>
          <w:tblHeader w:val="on"/>
        </w:trPr>
        <w:tc>
          <w:tcPr/>
          <w:p>
            <w:pPr>
              <w:pStyle w:val="Compact"/>
              <w:jc w:val="left"/>
            </w:pPr>
            <w:r>
              <w:t xml:space="preserve">Event</w:t>
            </w:r>
          </w:p>
        </w:tc>
        <w:tc>
          <w:tcPr/>
          <w:p>
            <w:pPr>
              <w:pStyle w:val="Compact"/>
              <w:jc w:val="left"/>
            </w:pPr>
            <w:r>
              <w:t xml:space="preserve">Year</w:t>
            </w:r>
          </w:p>
        </w:tc>
        <w:tc>
          <w:tcPr/>
          <w:p>
            <w:pPr>
              <w:pStyle w:val="Compact"/>
              <w:jc w:val="right"/>
            </w:pPr>
            <w:r>
              <w:t xml:space="preserve">Estimated Cost ($B)</w:t>
            </w:r>
          </w:p>
        </w:tc>
        <w:tc>
          <w:tcPr/>
          <w:p>
            <w:pPr>
              <w:pStyle w:val="Compact"/>
              <w:jc w:val="left"/>
            </w:pPr>
            <w:r>
              <w:t xml:space="preserve">GSP Impact</w:t>
            </w:r>
          </w:p>
        </w:tc>
      </w:tr>
      <w:tr>
        <w:tc>
          <w:tcPr/>
          <w:p>
            <w:pPr>
              <w:pStyle w:val="Compact"/>
              <w:jc w:val="left"/>
            </w:pPr>
            <w:r>
              <w:t xml:space="preserve">QLD floods (widespread)</w:t>
            </w:r>
          </w:p>
        </w:tc>
        <w:tc>
          <w:tcPr/>
          <w:p>
            <w:pPr>
              <w:pStyle w:val="Compact"/>
              <w:jc w:val="left"/>
            </w:pPr>
            <w:r>
              <w:t xml:space="preserve">2010–11</w:t>
            </w:r>
          </w:p>
        </w:tc>
        <w:tc>
          <w:tcPr/>
          <w:p>
            <w:pPr>
              <w:pStyle w:val="Compact"/>
              <w:jc w:val="right"/>
            </w:pPr>
            <w:r>
              <w:t xml:space="preserve">~10</w:t>
            </w:r>
          </w:p>
        </w:tc>
        <w:tc>
          <w:tcPr/>
          <w:p>
            <w:pPr>
              <w:pStyle w:val="Compact"/>
              <w:jc w:val="left"/>
            </w:pPr>
            <w:r>
              <w:t xml:space="preserve">GSP growth fell to 0.2%</w:t>
            </w:r>
          </w:p>
        </w:tc>
      </w:tr>
      <w:tr>
        <w:tc>
          <w:tcPr/>
          <w:p>
            <w:pPr>
              <w:pStyle w:val="Compact"/>
              <w:jc w:val="left"/>
            </w:pPr>
            <w:r>
              <w:t xml:space="preserve">Cyclone Yasi</w:t>
            </w:r>
          </w:p>
        </w:tc>
        <w:tc>
          <w:tcPr/>
          <w:p>
            <w:pPr>
              <w:pStyle w:val="Compact"/>
              <w:jc w:val="left"/>
            </w:pPr>
            <w:r>
              <w:t xml:space="preserve">2011</w:t>
            </w:r>
          </w:p>
        </w:tc>
        <w:tc>
          <w:tcPr/>
          <w:p>
            <w:pPr>
              <w:pStyle w:val="Compact"/>
              <w:jc w:val="right"/>
            </w:pPr>
            <w:r>
              <w:t xml:space="preserve">~3.6</w:t>
            </w:r>
          </w:p>
        </w:tc>
        <w:tc>
          <w:tcPr/>
          <w:p>
            <w:pPr>
              <w:pStyle w:val="Compact"/>
              <w:jc w:val="left"/>
            </w:pPr>
            <w:r>
              <w:t xml:space="preserve">Combined with floods above</w:t>
            </w:r>
          </w:p>
        </w:tc>
      </w:tr>
      <w:tr>
        <w:tc>
          <w:tcPr/>
          <w:p>
            <w:pPr>
              <w:pStyle w:val="Compact"/>
              <w:jc w:val="left"/>
            </w:pPr>
            <w:r>
              <w:t xml:space="preserve">North QLD monsoon</w:t>
            </w:r>
          </w:p>
        </w:tc>
        <w:tc>
          <w:tcPr/>
          <w:p>
            <w:pPr>
              <w:pStyle w:val="Compact"/>
              <w:jc w:val="left"/>
            </w:pPr>
            <w:r>
              <w:t xml:space="preserve">2019</w:t>
            </w:r>
          </w:p>
        </w:tc>
        <w:tc>
          <w:tcPr/>
          <w:p>
            <w:pPr>
              <w:pStyle w:val="Compact"/>
              <w:jc w:val="right"/>
            </w:pPr>
            <w:r>
              <w:t xml:space="preserve">~5.7</w:t>
            </w:r>
          </w:p>
        </w:tc>
        <w:tc>
          <w:tcPr/>
          <w:p>
            <w:pPr>
              <w:pStyle w:val="Compact"/>
              <w:jc w:val="left"/>
            </w:pPr>
            <w:r>
              <w:t xml:space="preserve">457,000 cattle killed</w:t>
            </w:r>
          </w:p>
        </w:tc>
      </w:tr>
      <w:tr>
        <w:tc>
          <w:tcPr/>
          <w:p>
            <w:pPr>
              <w:pStyle w:val="Compact"/>
              <w:jc w:val="left"/>
            </w:pPr>
            <w:r>
              <w:t xml:space="preserve">SE QLD / Northern Rivers floods</w:t>
            </w:r>
          </w:p>
        </w:tc>
        <w:tc>
          <w:tcPr/>
          <w:p>
            <w:pPr>
              <w:pStyle w:val="Compact"/>
              <w:jc w:val="left"/>
            </w:pPr>
            <w:r>
              <w:t xml:space="preserve">2022</w:t>
            </w:r>
          </w:p>
        </w:tc>
        <w:tc>
          <w:tcPr/>
          <w:p>
            <w:pPr>
              <w:pStyle w:val="Compact"/>
              <w:jc w:val="right"/>
            </w:pPr>
            <w:r>
              <w:t xml:space="preserve">~5+</w:t>
            </w:r>
          </w:p>
        </w:tc>
        <w:tc>
          <w:tcPr/>
          <w:p>
            <w:pPr>
              <w:pStyle w:val="Compact"/>
              <w:jc w:val="left"/>
            </w:pPr>
            <w:r>
              <w:t xml:space="preserve">300,000+ insurance claims</w:t>
            </w:r>
          </w:p>
        </w:tc>
      </w:tr>
      <w:tr>
        <w:tc>
          <w:tcPr/>
          <w:p>
            <w:pPr>
              <w:pStyle w:val="Compact"/>
              <w:jc w:val="left"/>
            </w:pPr>
            <w:r>
              <w:t xml:space="preserve">QLD storms (Dec 2023 – Jan 2024)</w:t>
            </w:r>
          </w:p>
        </w:tc>
        <w:tc>
          <w:tcPr/>
          <w:p>
            <w:pPr>
              <w:pStyle w:val="Compact"/>
              <w:jc w:val="left"/>
            </w:pPr>
            <w:r>
              <w:t xml:space="preserve">2023–24</w:t>
            </w:r>
          </w:p>
        </w:tc>
        <w:tc>
          <w:tcPr/>
          <w:p>
            <w:pPr>
              <w:pStyle w:val="Compact"/>
              <w:jc w:val="right"/>
            </w:pPr>
            <w:r>
              <w:t xml:space="preserve">1.33</w:t>
            </w:r>
          </w:p>
        </w:tc>
        <w:tc>
          <w:tcPr/>
          <w:p>
            <w:pPr>
              <w:pStyle w:val="Compact"/>
              <w:jc w:val="left"/>
            </w:pPr>
            <w:r>
              <w:t xml:space="preserve">~100,000 insurance claims</w:t>
            </w:r>
          </w:p>
        </w:tc>
      </w:tr>
      <w:tr>
        <w:tc>
          <w:tcPr/>
          <w:p>
            <w:pPr>
              <w:pStyle w:val="Compact"/>
              <w:jc w:val="left"/>
            </w:pPr>
            <w:r>
              <w:t xml:space="preserve">Western QLD floods</w:t>
            </w:r>
          </w:p>
        </w:tc>
        <w:tc>
          <w:tcPr/>
          <w:p>
            <w:pPr>
              <w:pStyle w:val="Compact"/>
              <w:jc w:val="left"/>
            </w:pPr>
            <w:r>
              <w:t xml:space="preserve">2025</w:t>
            </w:r>
          </w:p>
        </w:tc>
        <w:tc>
          <w:tcPr/>
          <w:p>
            <w:pPr>
              <w:pStyle w:val="Compact"/>
              <w:jc w:val="right"/>
            </w:pPr>
            <w:r>
              <w:t xml:space="preserve">~1.5+</w:t>
            </w:r>
          </w:p>
        </w:tc>
        <w:tc>
          <w:tcPr/>
          <w:p>
            <w:pPr>
              <w:pStyle w:val="Compact"/>
              <w:jc w:val="left"/>
            </w:pPr>
            <w:r>
              <w:t xml:space="preserve">8,500 km exclusion fencing destroyed</w:t>
            </w:r>
          </w:p>
        </w:tc>
      </w:tr>
    </w:tbl>
    <w:p>
      <w:pPr>
        <w:pStyle w:val="BodyText"/>
      </w:pPr>
      <w:r>
        <w:rPr>
          <w:i/>
          <w:iCs/>
        </w:rPr>
        <w:t xml:space="preserve">Source: World Bank (2010–11); ICA; Deloitte Access Economics; QRA; QLD Country Life. Note: 2010–11 floods and Cyclone Yasi costs overlap; combined total is ~$16B including all direct and indirect economic losses.</w:t>
      </w:r>
    </w:p>
    <w:bookmarkEnd w:id="40"/>
    <w:bookmarkStart w:id="41" w:name="insurance-cost-escalation"/>
    <w:p>
      <w:pPr>
        <w:pStyle w:val="Heading3"/>
      </w:pPr>
      <w:r>
        <w:t xml:space="preserve">6.4 Insurance Cost Escalation</w:t>
      </w:r>
    </w:p>
    <w:p>
      <w:pPr>
        <w:pStyle w:val="FirstParagraph"/>
      </w:pPr>
      <w:r>
        <w:rPr>
          <w:b/>
          <w:bCs/>
        </w:rPr>
        <w:t xml:space="preserve">Insurance cost indicators, Queensland</w:t>
      </w:r>
    </w:p>
    <w:tbl>
      <w:tblPr>
        <w:tblStyle w:val="Table"/>
        <w:tblW w:type="pct" w:w="5000"/>
        <w:tblLayout w:type="fixed"/>
        <w:tblLook w:firstRow="1" w:lastRow="0" w:firstColumn="0" w:lastColumn="0" w:noHBand="0" w:noVBand="0" w:val="0020"/>
      </w:tblPr>
      <w:tblGrid>
        <w:gridCol w:w="2880"/>
        <w:gridCol w:w="2520"/>
        <w:gridCol w:w="2520"/>
      </w:tblGrid>
      <w:tr>
        <w:trPr>
          <w:tblHeader w:val="on"/>
        </w:trPr>
        <w:tc>
          <w:tcPr/>
          <w:p>
            <w:pPr>
              <w:pStyle w:val="Compact"/>
              <w:jc w:val="left"/>
            </w:pPr>
            <w:r>
              <w:t xml:space="preserve">Metric</w:t>
            </w:r>
          </w:p>
        </w:tc>
        <w:tc>
          <w:tcPr/>
          <w:p>
            <w:pPr>
              <w:pStyle w:val="Compact"/>
              <w:jc w:val="right"/>
            </w:pPr>
            <w:r>
              <w:t xml:space="preserve">Value</w:t>
            </w:r>
          </w:p>
        </w:tc>
        <w:tc>
          <w:tcPr/>
          <w:p>
            <w:pPr>
              <w:pStyle w:val="Compact"/>
              <w:jc w:val="left"/>
            </w:pPr>
            <w:r>
              <w:t xml:space="preserve">Source</w:t>
            </w:r>
          </w:p>
        </w:tc>
      </w:tr>
      <w:tr>
        <w:tc>
          <w:tcPr/>
          <w:p>
            <w:pPr>
              <w:pStyle w:val="Compact"/>
              <w:jc w:val="left"/>
            </w:pPr>
            <w:r>
              <w:t xml:space="preserve">National premium increase (5 years)</w:t>
            </w:r>
          </w:p>
        </w:tc>
        <w:tc>
          <w:tcPr/>
          <w:p>
            <w:pPr>
              <w:pStyle w:val="Compact"/>
              <w:jc w:val="right"/>
            </w:pPr>
            <w:r>
              <w:t xml:space="preserve">+51%</w:t>
            </w:r>
          </w:p>
        </w:tc>
        <w:tc>
          <w:tcPr/>
          <w:p>
            <w:pPr>
              <w:pStyle w:val="Compact"/>
              <w:jc w:val="left"/>
            </w:pPr>
            <w:r>
              <w:t xml:space="preserve">Choice / ACCC</w:t>
            </w:r>
          </w:p>
        </w:tc>
      </w:tr>
      <w:tr>
        <w:tc>
          <w:tcPr/>
          <w:p>
            <w:pPr>
              <w:pStyle w:val="Compact"/>
              <w:jc w:val="left"/>
            </w:pPr>
            <w:r>
              <w:t xml:space="preserve">QLD average home insurance premium</w:t>
            </w:r>
          </w:p>
        </w:tc>
        <w:tc>
          <w:tcPr/>
          <w:p>
            <w:pPr>
              <w:pStyle w:val="Compact"/>
              <w:jc w:val="right"/>
            </w:pPr>
            <w:r>
              <w:t xml:space="preserve">$3,853</w:t>
            </w:r>
          </w:p>
        </w:tc>
        <w:tc>
          <w:tcPr/>
          <w:p>
            <w:pPr>
              <w:pStyle w:val="Compact"/>
              <w:jc w:val="left"/>
            </w:pPr>
            <w:r>
              <w:t xml:space="preserve">Choice (2025)</w:t>
            </w:r>
          </w:p>
        </w:tc>
      </w:tr>
      <w:tr>
        <w:tc>
          <w:tcPr/>
          <w:p>
            <w:pPr>
              <w:pStyle w:val="Compact"/>
              <w:jc w:val="left"/>
            </w:pPr>
            <w:r>
              <w:t xml:space="preserve">North QLD average premium</w:t>
            </w:r>
          </w:p>
        </w:tc>
        <w:tc>
          <w:tcPr/>
          <w:p>
            <w:pPr>
              <w:pStyle w:val="Compact"/>
              <w:jc w:val="right"/>
            </w:pPr>
            <w:r>
              <w:t xml:space="preserve">$2,918</w:t>
            </w:r>
          </w:p>
        </w:tc>
        <w:tc>
          <w:tcPr/>
          <w:p>
            <w:pPr>
              <w:pStyle w:val="Compact"/>
              <w:jc w:val="left"/>
            </w:pPr>
            <w:r>
              <w:t xml:space="preserve">Australia Institute</w:t>
            </w:r>
          </w:p>
        </w:tc>
      </w:tr>
      <w:tr>
        <w:tc>
          <w:tcPr/>
          <w:p>
            <w:pPr>
              <w:pStyle w:val="Compact"/>
              <w:jc w:val="left"/>
            </w:pPr>
            <w:r>
              <w:t xml:space="preserve">NQ premium vs national average</w:t>
            </w:r>
          </w:p>
        </w:tc>
        <w:tc>
          <w:tcPr/>
          <w:p>
            <w:pPr>
              <w:pStyle w:val="Compact"/>
              <w:jc w:val="right"/>
            </w:pPr>
            <w:r>
              <w:t xml:space="preserve">+60–64%</w:t>
            </w:r>
          </w:p>
        </w:tc>
        <w:tc>
          <w:tcPr/>
          <w:p>
            <w:pPr>
              <w:pStyle w:val="Compact"/>
              <w:jc w:val="left"/>
            </w:pPr>
            <w:r>
              <w:t xml:space="preserve">ACCC Northern Australia Report</w:t>
            </w:r>
          </w:p>
        </w:tc>
      </w:tr>
      <w:tr>
        <w:tc>
          <w:tcPr/>
          <w:p>
            <w:pPr>
              <w:pStyle w:val="Compact"/>
              <w:jc w:val="left"/>
            </w:pPr>
            <w:r>
              <w:t xml:space="preserve">QLD uninsured households (North QLD)</w:t>
            </w:r>
          </w:p>
        </w:tc>
        <w:tc>
          <w:tcPr/>
          <w:p>
            <w:pPr>
              <w:pStyle w:val="Compact"/>
              <w:jc w:val="right"/>
            </w:pPr>
            <w:r>
              <w:t xml:space="preserve">~20%</w:t>
            </w:r>
          </w:p>
        </w:tc>
        <w:tc>
          <w:tcPr/>
          <w:p>
            <w:pPr>
              <w:pStyle w:val="Compact"/>
              <w:jc w:val="left"/>
            </w:pPr>
            <w:r>
              <w:t xml:space="preserve">ACCC</w:t>
            </w:r>
          </w:p>
        </w:tc>
      </w:tr>
      <w:tr>
        <w:tc>
          <w:tcPr/>
          <w:p>
            <w:pPr>
              <w:pStyle w:val="Compact"/>
              <w:jc w:val="left"/>
            </w:pPr>
            <w:r>
              <w:t xml:space="preserve">Properties projected uninsurable by 2030</w:t>
            </w:r>
          </w:p>
        </w:tc>
        <w:tc>
          <w:tcPr/>
          <w:p>
            <w:pPr>
              <w:pStyle w:val="Compact"/>
              <w:jc w:val="right"/>
            </w:pPr>
            <w:r>
              <w:t xml:space="preserve">6.5% of QLD properties</w:t>
            </w:r>
          </w:p>
        </w:tc>
        <w:tc>
          <w:tcPr/>
          <w:p>
            <w:pPr>
              <w:pStyle w:val="Compact"/>
              <w:jc w:val="left"/>
            </w:pPr>
            <w:r>
              <w:t xml:space="preserve">Climate Council</w:t>
            </w:r>
          </w:p>
        </w:tc>
      </w:tr>
      <w:tr>
        <w:tc>
          <w:tcPr/>
          <w:p>
            <w:pPr>
              <w:pStyle w:val="Compact"/>
              <w:jc w:val="left"/>
            </w:pPr>
            <w:r>
              <w:t xml:space="preserve">Insurer payouts 2022 + 2023 combined</w:t>
            </w:r>
          </w:p>
        </w:tc>
        <w:tc>
          <w:tcPr/>
          <w:p>
            <w:pPr>
              <w:pStyle w:val="Compact"/>
              <w:jc w:val="right"/>
            </w:pPr>
            <w:r>
              <w:t xml:space="preserve">&gt;$10B</w:t>
            </w:r>
          </w:p>
        </w:tc>
        <w:tc>
          <w:tcPr/>
          <w:p>
            <w:pPr>
              <w:pStyle w:val="Compact"/>
              <w:jc w:val="left"/>
            </w:pPr>
            <w:r>
              <w:t xml:space="preserve">ICA (national, QLD-dominant)</w:t>
            </w:r>
          </w:p>
        </w:tc>
      </w:tr>
    </w:tbl>
    <w:p>
      <w:pPr>
        <w:pStyle w:val="BodyText"/>
      </w:pPr>
      <w:r>
        <w:rPr>
          <w:i/>
          <w:iCs/>
        </w:rPr>
        <w:t xml:space="preserve">Source: Choice (2025); ACCC Northern Australia Insurance Inquiry (2020); Climate Council</w:t>
      </w:r>
      <w:r>
        <w:rPr>
          <w:i/>
          <w:iCs/>
        </w:rPr>
        <w:t xml:space="preserve"> </w:t>
      </w:r>
      <w:r>
        <w:rPr>
          <w:i/>
          <w:iCs/>
        </w:rPr>
        <w:t xml:space="preserve">“State of Queensland: Disaster Ground Zero”</w:t>
      </w:r>
      <w:r>
        <w:rPr>
          <w:i/>
          <w:iCs/>
        </w:rPr>
        <w:t xml:space="preserve">; ICA; Australia Institute.</w:t>
      </w:r>
    </w:p>
    <w:p>
      <w:r>
        <w:pict>
          <v:rect style="width:0;height:1.5pt" o:hralign="center" o:hrstd="t" o:hr="t"/>
        </w:pict>
      </w:r>
    </w:p>
    <w:bookmarkEnd w:id="41"/>
    <w:bookmarkEnd w:id="42"/>
    <w:bookmarkStart w:id="43" w:name="Xe4a14414c20f392ece9a1b79f32b16f39ab6661"/>
    <w:p>
      <w:pPr>
        <w:pStyle w:val="Heading2"/>
      </w:pPr>
      <w:r>
        <w:t xml:space="preserve">7. Summary Statistics for Climate Economics Context</w:t>
      </w:r>
    </w:p>
    <w:p>
      <w:pPr>
        <w:pStyle w:val="FirstParagraph"/>
      </w:pPr>
      <w:r>
        <w:rPr>
          <w:b/>
          <w:bCs/>
        </w:rPr>
        <w:t xml:space="preserve">Queensland economy at a glance, 2024–25</w:t>
      </w:r>
    </w:p>
    <w:tbl>
      <w:tblPr>
        <w:tblStyle w:val="Table"/>
        <w:tblW w:type="pct" w:w="5000"/>
        <w:tblLayout w:type="fixed"/>
        <w:tblLook w:firstRow="1" w:lastRow="0" w:firstColumn="0" w:lastColumn="0" w:noHBand="0" w:noVBand="0" w:val="0020"/>
      </w:tblPr>
      <w:tblGrid>
        <w:gridCol w:w="4840"/>
        <w:gridCol w:w="3080"/>
      </w:tblGrid>
      <w:tr>
        <w:trPr>
          <w:tblHeader w:val="on"/>
        </w:trPr>
        <w:tc>
          <w:tcPr/>
          <w:p>
            <w:pPr>
              <w:pStyle w:val="Compact"/>
              <w:jc w:val="left"/>
            </w:pPr>
            <w:r>
              <w:t xml:space="preserve">Indicator</w:t>
            </w:r>
          </w:p>
        </w:tc>
        <w:tc>
          <w:tcPr/>
          <w:p>
            <w:pPr>
              <w:pStyle w:val="Compact"/>
              <w:jc w:val="right"/>
            </w:pPr>
            <w:r>
              <w:t xml:space="preserve">Value</w:t>
            </w:r>
          </w:p>
        </w:tc>
      </w:tr>
      <w:tr>
        <w:tc>
          <w:tcPr/>
          <w:p>
            <w:pPr>
              <w:pStyle w:val="Compact"/>
              <w:jc w:val="left"/>
            </w:pPr>
            <w:r>
              <w:t xml:space="preserve">Nominal GSP</w:t>
            </w:r>
          </w:p>
        </w:tc>
        <w:tc>
          <w:tcPr/>
          <w:p>
            <w:pPr>
              <w:pStyle w:val="Compact"/>
              <w:jc w:val="right"/>
            </w:pPr>
            <w:r>
              <w:t xml:space="preserve">$531 billion</w:t>
            </w:r>
          </w:p>
        </w:tc>
      </w:tr>
      <w:tr>
        <w:tc>
          <w:tcPr/>
          <w:p>
            <w:pPr>
              <w:pStyle w:val="Compact"/>
              <w:jc w:val="left"/>
            </w:pPr>
            <w:r>
              <w:t xml:space="preserve">Real GSP growth</w:t>
            </w:r>
          </w:p>
        </w:tc>
        <w:tc>
          <w:tcPr/>
          <w:p>
            <w:pPr>
              <w:pStyle w:val="Compact"/>
              <w:jc w:val="right"/>
            </w:pPr>
            <w:r>
              <w:t xml:space="preserve">2.2%</w:t>
            </w:r>
          </w:p>
        </w:tc>
      </w:tr>
      <w:tr>
        <w:tc>
          <w:tcPr/>
          <w:p>
            <w:pPr>
              <w:pStyle w:val="Compact"/>
              <w:jc w:val="left"/>
            </w:pPr>
            <w:r>
              <w:t xml:space="preserve">Share of national GDP</w:t>
            </w:r>
          </w:p>
        </w:tc>
        <w:tc>
          <w:tcPr/>
          <w:p>
            <w:pPr>
              <w:pStyle w:val="Compact"/>
              <w:jc w:val="right"/>
            </w:pPr>
            <w:r>
              <w:t xml:space="preserve">19.1%</w:t>
            </w:r>
          </w:p>
        </w:tc>
      </w:tr>
      <w:tr>
        <w:tc>
          <w:tcPr/>
          <w:p>
            <w:pPr>
              <w:pStyle w:val="Compact"/>
              <w:jc w:val="left"/>
            </w:pPr>
            <w:r>
              <w:t xml:space="preserve">Population</w:t>
            </w:r>
          </w:p>
        </w:tc>
        <w:tc>
          <w:tcPr/>
          <w:p>
            <w:pPr>
              <w:pStyle w:val="Compact"/>
              <w:jc w:val="right"/>
            </w:pPr>
            <w:r>
              <w:t xml:space="preserve">5.67 million</w:t>
            </w:r>
          </w:p>
        </w:tc>
      </w:tr>
      <w:tr>
        <w:tc>
          <w:tcPr/>
          <w:p>
            <w:pPr>
              <w:pStyle w:val="Compact"/>
              <w:jc w:val="left"/>
            </w:pPr>
            <w:r>
              <w:t xml:space="preserve">GSP per capita</w:t>
            </w:r>
          </w:p>
        </w:tc>
        <w:tc>
          <w:tcPr/>
          <w:p>
            <w:pPr>
              <w:pStyle w:val="Compact"/>
              <w:jc w:val="right"/>
            </w:pPr>
            <w:r>
              <w:t xml:space="preserve">$94,506</w:t>
            </w:r>
          </w:p>
        </w:tc>
      </w:tr>
      <w:tr>
        <w:tc>
          <w:tcPr/>
          <w:p>
            <w:pPr>
              <w:pStyle w:val="Compact"/>
              <w:jc w:val="left"/>
            </w:pPr>
            <w:r>
              <w:t xml:space="preserve">Largest industry (by GVA)</w:t>
            </w:r>
          </w:p>
        </w:tc>
        <w:tc>
          <w:tcPr/>
          <w:p>
            <w:pPr>
              <w:pStyle w:val="Compact"/>
              <w:jc w:val="right"/>
            </w:pPr>
            <w:r>
              <w:t xml:space="preserve">Mining (12.9%)</w:t>
            </w:r>
          </w:p>
        </w:tc>
      </w:tr>
      <w:tr>
        <w:tc>
          <w:tcPr/>
          <w:p>
            <w:pPr>
              <w:pStyle w:val="Compact"/>
              <w:jc w:val="left"/>
            </w:pPr>
            <w:r>
              <w:t xml:space="preserve">Agriculture GVP</w:t>
            </w:r>
          </w:p>
        </w:tc>
        <w:tc>
          <w:tcPr/>
          <w:p>
            <w:pPr>
              <w:pStyle w:val="Compact"/>
              <w:jc w:val="right"/>
            </w:pPr>
            <w:r>
              <w:t xml:space="preserve">~$23–27 billion</w:t>
            </w:r>
          </w:p>
        </w:tc>
      </w:tr>
      <w:tr>
        <w:tc>
          <w:tcPr/>
          <w:p>
            <w:pPr>
              <w:pStyle w:val="Compact"/>
              <w:jc w:val="left"/>
            </w:pPr>
            <w:r>
              <w:t xml:space="preserve">Tourism (direct + indirect)</w:t>
            </w:r>
          </w:p>
        </w:tc>
        <w:tc>
          <w:tcPr/>
          <w:p>
            <w:pPr>
              <w:pStyle w:val="Compact"/>
              <w:jc w:val="right"/>
            </w:pPr>
            <w:r>
              <w:t xml:space="preserve">~$32 billion (6.3% of GSP)</w:t>
            </w:r>
          </w:p>
        </w:tc>
      </w:tr>
      <w:tr>
        <w:tc>
          <w:tcPr/>
          <w:p>
            <w:pPr>
              <w:pStyle w:val="Compact"/>
              <w:jc w:val="left"/>
            </w:pPr>
            <w:r>
              <w:t xml:space="preserve">Climate-exposed sectors (excl. mining)</w:t>
            </w:r>
          </w:p>
        </w:tc>
        <w:tc>
          <w:tcPr/>
          <w:p>
            <w:pPr>
              <w:pStyle w:val="Compact"/>
              <w:jc w:val="right"/>
            </w:pPr>
            <w:r>
              <w:t xml:space="preserve">~21% of GVA</w:t>
            </w:r>
          </w:p>
        </w:tc>
      </w:tr>
      <w:tr>
        <w:tc>
          <w:tcPr/>
          <w:p>
            <w:pPr>
              <w:pStyle w:val="Compact"/>
              <w:jc w:val="left"/>
            </w:pPr>
            <w:r>
              <w:t xml:space="preserve">Climate-exposed sectors (incl. mining)</w:t>
            </w:r>
          </w:p>
        </w:tc>
        <w:tc>
          <w:tcPr/>
          <w:p>
            <w:pPr>
              <w:pStyle w:val="Compact"/>
              <w:jc w:val="right"/>
            </w:pPr>
            <w:r>
              <w:t xml:space="preserve">~34% of GVA</w:t>
            </w:r>
          </w:p>
        </w:tc>
      </w:tr>
      <w:tr>
        <w:tc>
          <w:tcPr/>
          <w:p>
            <w:pPr>
              <w:pStyle w:val="Compact"/>
              <w:jc w:val="left"/>
            </w:pPr>
            <w:r>
              <w:t xml:space="preserve">Average annual disaster costs</w:t>
            </w:r>
          </w:p>
        </w:tc>
        <w:tc>
          <w:tcPr/>
          <w:p>
            <w:pPr>
              <w:pStyle w:val="Compact"/>
              <w:jc w:val="right"/>
            </w:pPr>
            <w:r>
              <w:t xml:space="preserve">~$4–5 billion (~1% of GSP)</w:t>
            </w:r>
          </w:p>
        </w:tc>
      </w:tr>
      <w:tr>
        <w:tc>
          <w:tcPr/>
          <w:p>
            <w:pPr>
              <w:pStyle w:val="Compact"/>
              <w:jc w:val="left"/>
            </w:pPr>
            <w:r>
              <w:t xml:space="preserve">Disaster costs in extreme year (2010–11)</w:t>
            </w:r>
          </w:p>
        </w:tc>
        <w:tc>
          <w:tcPr/>
          <w:p>
            <w:pPr>
              <w:pStyle w:val="Compact"/>
              <w:jc w:val="right"/>
            </w:pPr>
            <w:r>
              <w:t xml:space="preserve">~$16 billion (~5.8% of GSP)</w:t>
            </w:r>
          </w:p>
        </w:tc>
      </w:tr>
    </w:tbl>
    <w:p>
      <w:r>
        <w:pict>
          <v:rect style="width:0;height:1.5pt" o:hralign="center" o:hrstd="t" o:hr="t"/>
        </w:pict>
      </w:r>
    </w:p>
    <w:bookmarkEnd w:id="43"/>
    <w:bookmarkStart w:id="78" w:name="sources"/>
    <w:p>
      <w:pPr>
        <w:pStyle w:val="Heading2"/>
      </w:pPr>
      <w:r>
        <w:t xml:space="preserve">Sources</w:t>
      </w:r>
    </w:p>
    <w:bookmarkStart w:id="50" w:name="official-statistical-sources"/>
    <w:p>
      <w:pPr>
        <w:pStyle w:val="Heading3"/>
      </w:pPr>
      <w:r>
        <w:t xml:space="preserve">Official Statistical Sources</w:t>
      </w:r>
    </w:p>
    <w:p>
      <w:pPr>
        <w:pStyle w:val="Compact"/>
        <w:numPr>
          <w:ilvl w:val="0"/>
          <w:numId w:val="1006"/>
        </w:numPr>
      </w:pPr>
      <w:r>
        <w:t xml:space="preserve">ABS,</w:t>
      </w:r>
      <w:r>
        <w:t xml:space="preserve"> </w:t>
      </w:r>
      <w:r>
        <w:rPr>
          <w:i/>
          <w:iCs/>
        </w:rPr>
        <w:t xml:space="preserve">Australian National Accounts: State Accounts, 2024–25 financial year</w:t>
      </w:r>
      <w:r>
        <w:t xml:space="preserve"> </w:t>
      </w:r>
      <w:r>
        <w:t xml:space="preserve">(Cat. 5220.0), released November 2025.</w:t>
      </w:r>
      <w:r>
        <w:t xml:space="preserve"> </w:t>
      </w:r>
      <w:hyperlink r:id="rId44">
        <w:r>
          <w:rPr>
            <w:rStyle w:val="Hyperlink"/>
          </w:rPr>
          <w:t xml:space="preserve">abs.gov.au</w:t>
        </w:r>
      </w:hyperlink>
    </w:p>
    <w:p>
      <w:pPr>
        <w:pStyle w:val="Compact"/>
        <w:numPr>
          <w:ilvl w:val="0"/>
          <w:numId w:val="1006"/>
        </w:numPr>
      </w:pPr>
      <w:r>
        <w:t xml:space="preserve">ABS,</w:t>
      </w:r>
      <w:r>
        <w:t xml:space="preserve"> </w:t>
      </w:r>
      <w:r>
        <w:rPr>
          <w:i/>
          <w:iCs/>
        </w:rPr>
        <w:t xml:space="preserve">National, State and Territory Population, June 2025</w:t>
      </w:r>
      <w:r>
        <w:t xml:space="preserve">.</w:t>
      </w:r>
      <w:r>
        <w:t xml:space="preserve"> </w:t>
      </w:r>
      <w:hyperlink r:id="rId45">
        <w:r>
          <w:rPr>
            <w:rStyle w:val="Hyperlink"/>
          </w:rPr>
          <w:t xml:space="preserve">abs.gov.au</w:t>
        </w:r>
      </w:hyperlink>
    </w:p>
    <w:p>
      <w:pPr>
        <w:pStyle w:val="Compact"/>
        <w:numPr>
          <w:ilvl w:val="0"/>
          <w:numId w:val="1006"/>
        </w:numPr>
      </w:pPr>
      <w:r>
        <w:t xml:space="preserve">DFAT,</w:t>
      </w:r>
      <w:r>
        <w:t xml:space="preserve"> </w:t>
      </w:r>
      <w:r>
        <w:rPr>
          <w:i/>
          <w:iCs/>
        </w:rPr>
        <w:t xml:space="preserve">Queensland Country Economic Fact Sheet, 2024–25</w:t>
      </w:r>
      <w:r>
        <w:t xml:space="preserve">.</w:t>
      </w:r>
      <w:r>
        <w:t xml:space="preserve"> </w:t>
      </w:r>
      <w:hyperlink r:id="rId46">
        <w:r>
          <w:rPr>
            <w:rStyle w:val="Hyperlink"/>
          </w:rPr>
          <w:t xml:space="preserve">dfat.gov.au</w:t>
        </w:r>
      </w:hyperlink>
    </w:p>
    <w:p>
      <w:pPr>
        <w:pStyle w:val="Compact"/>
        <w:numPr>
          <w:ilvl w:val="0"/>
          <w:numId w:val="1006"/>
        </w:numPr>
      </w:pPr>
      <w:r>
        <w:t xml:space="preserve">QGSO,</w:t>
      </w:r>
      <w:r>
        <w:t xml:space="preserve"> </w:t>
      </w:r>
      <w:r>
        <w:rPr>
          <w:i/>
          <w:iCs/>
        </w:rPr>
        <w:t xml:space="preserve">Economic Activity: State Accounts</w:t>
      </w:r>
      <w:r>
        <w:t xml:space="preserve">.</w:t>
      </w:r>
      <w:r>
        <w:t xml:space="preserve"> </w:t>
      </w:r>
      <w:hyperlink r:id="rId47">
        <w:r>
          <w:rPr>
            <w:rStyle w:val="Hyperlink"/>
          </w:rPr>
          <w:t xml:space="preserve">qgso.qld.gov.au</w:t>
        </w:r>
      </w:hyperlink>
    </w:p>
    <w:p>
      <w:pPr>
        <w:pStyle w:val="Compact"/>
        <w:numPr>
          <w:ilvl w:val="0"/>
          <w:numId w:val="1006"/>
        </w:numPr>
      </w:pPr>
      <w:r>
        <w:t xml:space="preserve">QGSO,</w:t>
      </w:r>
      <w:r>
        <w:t xml:space="preserve"> </w:t>
      </w:r>
      <w:r>
        <w:rPr>
          <w:i/>
          <w:iCs/>
        </w:rPr>
        <w:t xml:space="preserve">Economic Activity: Queensland State Accounts</w:t>
      </w:r>
      <w:r>
        <w:t xml:space="preserve">.</w:t>
      </w:r>
      <w:r>
        <w:t xml:space="preserve"> </w:t>
      </w:r>
      <w:hyperlink r:id="rId48">
        <w:r>
          <w:rPr>
            <w:rStyle w:val="Hyperlink"/>
          </w:rPr>
          <w:t xml:space="preserve">qgso.qld.gov.au</w:t>
        </w:r>
      </w:hyperlink>
    </w:p>
    <w:p>
      <w:pPr>
        <w:pStyle w:val="Compact"/>
        <w:numPr>
          <w:ilvl w:val="0"/>
          <w:numId w:val="1006"/>
        </w:numPr>
      </w:pPr>
      <w:r>
        <w:t xml:space="preserve">QLD Treasury,</w:t>
      </w:r>
      <w:r>
        <w:t xml:space="preserve"> </w:t>
      </w:r>
      <w:r>
        <w:rPr>
          <w:i/>
          <w:iCs/>
        </w:rPr>
        <w:t xml:space="preserve">Queensland’s Economy</w:t>
      </w:r>
      <w:r>
        <w:t xml:space="preserve">.</w:t>
      </w:r>
      <w:r>
        <w:t xml:space="preserve"> </w:t>
      </w:r>
      <w:hyperlink r:id="rId49">
        <w:r>
          <w:rPr>
            <w:rStyle w:val="Hyperlink"/>
          </w:rPr>
          <w:t xml:space="preserve">treasury.qld.gov.au</w:t>
        </w:r>
      </w:hyperlink>
    </w:p>
    <w:bookmarkEnd w:id="50"/>
    <w:bookmarkStart w:id="53" w:name="budget-and-policy-sources"/>
    <w:p>
      <w:pPr>
        <w:pStyle w:val="Heading3"/>
      </w:pPr>
      <w:r>
        <w:t xml:space="preserve">Budget and Policy Sources</w:t>
      </w:r>
    </w:p>
    <w:p>
      <w:pPr>
        <w:pStyle w:val="Compact"/>
        <w:numPr>
          <w:ilvl w:val="0"/>
          <w:numId w:val="1007"/>
        </w:numPr>
      </w:pPr>
      <w:r>
        <w:t xml:space="preserve">QLD Government,</w:t>
      </w:r>
      <w:r>
        <w:t xml:space="preserve"> </w:t>
      </w:r>
      <w:r>
        <w:rPr>
          <w:i/>
          <w:iCs/>
        </w:rPr>
        <w:t xml:space="preserve">Budget Strategy and Outlook 2025–26, Budget Paper No. 2</w:t>
      </w:r>
      <w:r>
        <w:t xml:space="preserve">.</w:t>
      </w:r>
      <w:r>
        <w:t xml:space="preserve"> </w:t>
      </w:r>
      <w:hyperlink r:id="rId51">
        <w:r>
          <w:rPr>
            <w:rStyle w:val="Hyperlink"/>
          </w:rPr>
          <w:t xml:space="preserve">budget.qld.gov.au</w:t>
        </w:r>
      </w:hyperlink>
    </w:p>
    <w:p>
      <w:pPr>
        <w:pStyle w:val="Compact"/>
        <w:numPr>
          <w:ilvl w:val="0"/>
          <w:numId w:val="1007"/>
        </w:numPr>
      </w:pPr>
      <w:r>
        <w:t xml:space="preserve">QLD Government,</w:t>
      </w:r>
      <w:r>
        <w:t xml:space="preserve"> </w:t>
      </w:r>
      <w:r>
        <w:rPr>
          <w:i/>
          <w:iCs/>
        </w:rPr>
        <w:t xml:space="preserve">Budget 2025–26: Economic Performance and Outlook</w:t>
      </w:r>
      <w:r>
        <w:t xml:space="preserve">.</w:t>
      </w:r>
      <w:r>
        <w:t xml:space="preserve"> </w:t>
      </w:r>
      <w:hyperlink r:id="rId52">
        <w:r>
          <w:rPr>
            <w:rStyle w:val="Hyperlink"/>
          </w:rPr>
          <w:t xml:space="preserve">budget.qld.gov.au</w:t>
        </w:r>
      </w:hyperlink>
    </w:p>
    <w:bookmarkEnd w:id="53"/>
    <w:bookmarkStart w:id="59" w:name="agriculture-sources"/>
    <w:p>
      <w:pPr>
        <w:pStyle w:val="Heading3"/>
      </w:pPr>
      <w:r>
        <w:t xml:space="preserve">Agriculture Sources</w:t>
      </w:r>
    </w:p>
    <w:p>
      <w:pPr>
        <w:pStyle w:val="Compact"/>
        <w:numPr>
          <w:ilvl w:val="0"/>
          <w:numId w:val="1008"/>
        </w:numPr>
      </w:pPr>
      <w:r>
        <w:t xml:space="preserve">QLD Department of Primary Industries,</w:t>
      </w:r>
      <w:r>
        <w:t xml:space="preserve"> </w:t>
      </w:r>
      <w:r>
        <w:rPr>
          <w:i/>
          <w:iCs/>
        </w:rPr>
        <w:t xml:space="preserve">AgTrends 2024–25</w:t>
      </w:r>
      <w:r>
        <w:t xml:space="preserve">.</w:t>
      </w:r>
      <w:r>
        <w:t xml:space="preserve"> </w:t>
      </w:r>
      <w:hyperlink r:id="rId54">
        <w:r>
          <w:rPr>
            <w:rStyle w:val="Hyperlink"/>
          </w:rPr>
          <w:t xml:space="preserve">dpi.qld.gov.au</w:t>
        </w:r>
      </w:hyperlink>
    </w:p>
    <w:p>
      <w:pPr>
        <w:pStyle w:val="Compact"/>
        <w:numPr>
          <w:ilvl w:val="0"/>
          <w:numId w:val="1008"/>
        </w:numPr>
      </w:pPr>
      <w:r>
        <w:t xml:space="preserve">QLD Government Ministerial Statement,</w:t>
      </w:r>
      <w:r>
        <w:t xml:space="preserve"> </w:t>
      </w:r>
      <w:r>
        <w:t xml:space="preserve">“AgTrends show sector to boom in 2024–25.”</w:t>
      </w:r>
      <w:r>
        <w:t xml:space="preserve"> </w:t>
      </w:r>
      <w:hyperlink r:id="rId55">
        <w:r>
          <w:rPr>
            <w:rStyle w:val="Hyperlink"/>
          </w:rPr>
          <w:t xml:space="preserve">statements.qld.gov.au</w:t>
        </w:r>
      </w:hyperlink>
    </w:p>
    <w:p>
      <w:pPr>
        <w:pStyle w:val="Compact"/>
        <w:numPr>
          <w:ilvl w:val="0"/>
          <w:numId w:val="1008"/>
        </w:numPr>
      </w:pPr>
      <w:r>
        <w:t xml:space="preserve">QLD Government Ministerial Statement,</w:t>
      </w:r>
      <w:r>
        <w:t xml:space="preserve"> </w:t>
      </w:r>
      <w:r>
        <w:t xml:space="preserve">“Record agricultural sector valuation.”</w:t>
      </w:r>
      <w:r>
        <w:t xml:space="preserve"> </w:t>
      </w:r>
      <w:hyperlink r:id="rId56">
        <w:r>
          <w:rPr>
            <w:rStyle w:val="Hyperlink"/>
          </w:rPr>
          <w:t xml:space="preserve">statements.qld.gov.au</w:t>
        </w:r>
      </w:hyperlink>
    </w:p>
    <w:p>
      <w:pPr>
        <w:pStyle w:val="Compact"/>
        <w:numPr>
          <w:ilvl w:val="0"/>
          <w:numId w:val="1008"/>
        </w:numPr>
      </w:pPr>
      <w:r>
        <w:t xml:space="preserve">ABARES,</w:t>
      </w:r>
      <w:r>
        <w:t xml:space="preserve"> </w:t>
      </w:r>
      <w:r>
        <w:rPr>
          <w:i/>
          <w:iCs/>
        </w:rPr>
        <w:t xml:space="preserve">Agricultural Commodities Report, September 2024</w:t>
      </w:r>
      <w:r>
        <w:t xml:space="preserve">.</w:t>
      </w:r>
      <w:r>
        <w:t xml:space="preserve"> </w:t>
      </w:r>
      <w:hyperlink r:id="rId57">
        <w:r>
          <w:rPr>
            <w:rStyle w:val="Hyperlink"/>
          </w:rPr>
          <w:t xml:space="preserve">agriculture.gov.au</w:t>
        </w:r>
      </w:hyperlink>
    </w:p>
    <w:p>
      <w:pPr>
        <w:pStyle w:val="Compact"/>
        <w:numPr>
          <w:ilvl w:val="0"/>
          <w:numId w:val="1008"/>
        </w:numPr>
      </w:pPr>
      <w:r>
        <w:t xml:space="preserve">ABARES,</w:t>
      </w:r>
      <w:r>
        <w:t xml:space="preserve"> </w:t>
      </w:r>
      <w:r>
        <w:rPr>
          <w:i/>
          <w:iCs/>
        </w:rPr>
        <w:t xml:space="preserve">Snapshot of Australian Agriculture 2026</w:t>
      </w:r>
      <w:r>
        <w:t xml:space="preserve">.</w:t>
      </w:r>
      <w:r>
        <w:t xml:space="preserve"> </w:t>
      </w:r>
      <w:hyperlink r:id="rId58">
        <w:r>
          <w:rPr>
            <w:rStyle w:val="Hyperlink"/>
          </w:rPr>
          <w:t xml:space="preserve">agriculture.gov.au</w:t>
        </w:r>
      </w:hyperlink>
    </w:p>
    <w:bookmarkEnd w:id="59"/>
    <w:bookmarkStart w:id="64" w:name="tourism-sources"/>
    <w:p>
      <w:pPr>
        <w:pStyle w:val="Heading3"/>
      </w:pPr>
      <w:r>
        <w:t xml:space="preserve">Tourism Sources</w:t>
      </w:r>
    </w:p>
    <w:p>
      <w:pPr>
        <w:pStyle w:val="Compact"/>
        <w:numPr>
          <w:ilvl w:val="0"/>
          <w:numId w:val="1009"/>
        </w:numPr>
      </w:pPr>
      <w:r>
        <w:t xml:space="preserve">Tourism &amp; Events Queensland,</w:t>
      </w:r>
      <w:r>
        <w:t xml:space="preserve"> </w:t>
      </w:r>
      <w:r>
        <w:rPr>
          <w:i/>
          <w:iCs/>
        </w:rPr>
        <w:t xml:space="preserve">Tourism Economic Key Facts</w:t>
      </w:r>
      <w:r>
        <w:t xml:space="preserve">, updated March 2025 and September 2025.</w:t>
      </w:r>
      <w:r>
        <w:t xml:space="preserve"> </w:t>
      </w:r>
      <w:hyperlink r:id="rId60">
        <w:r>
          <w:rPr>
            <w:rStyle w:val="Hyperlink"/>
          </w:rPr>
          <w:t xml:space="preserve">teq.queensland.com</w:t>
        </w:r>
      </w:hyperlink>
    </w:p>
    <w:p>
      <w:pPr>
        <w:pStyle w:val="Compact"/>
        <w:numPr>
          <w:ilvl w:val="0"/>
          <w:numId w:val="1009"/>
        </w:numPr>
      </w:pPr>
      <w:r>
        <w:t xml:space="preserve">Tourism Research Australia,</w:t>
      </w:r>
      <w:r>
        <w:t xml:space="preserve"> </w:t>
      </w:r>
      <w:r>
        <w:rPr>
          <w:i/>
          <w:iCs/>
        </w:rPr>
        <w:t xml:space="preserve">State Tourism Satellite Account</w:t>
      </w:r>
      <w:r>
        <w:t xml:space="preserve">.</w:t>
      </w:r>
      <w:r>
        <w:t xml:space="preserve"> </w:t>
      </w:r>
      <w:hyperlink r:id="rId61">
        <w:r>
          <w:rPr>
            <w:rStyle w:val="Hyperlink"/>
          </w:rPr>
          <w:t xml:space="preserve">tra.gov.au</w:t>
        </w:r>
      </w:hyperlink>
    </w:p>
    <w:p>
      <w:pPr>
        <w:pStyle w:val="Compact"/>
        <w:numPr>
          <w:ilvl w:val="0"/>
          <w:numId w:val="1009"/>
        </w:numPr>
      </w:pPr>
      <w:r>
        <w:t xml:space="preserve">GBRMPA,</w:t>
      </w:r>
      <w:r>
        <w:t xml:space="preserve"> </w:t>
      </w:r>
      <w:r>
        <w:rPr>
          <w:i/>
          <w:iCs/>
        </w:rPr>
        <w:t xml:space="preserve">Great Barrier Reef Outlook Report 2024, Section 6.2.1: Economic Growth</w:t>
      </w:r>
      <w:r>
        <w:t xml:space="preserve">.</w:t>
      </w:r>
      <w:r>
        <w:t xml:space="preserve"> </w:t>
      </w:r>
      <w:hyperlink r:id="rId62">
        <w:r>
          <w:rPr>
            <w:rStyle w:val="Hyperlink"/>
          </w:rPr>
          <w:t xml:space="preserve">outlookreport.gbrmpa.gov.au</w:t>
        </w:r>
      </w:hyperlink>
    </w:p>
    <w:p>
      <w:pPr>
        <w:pStyle w:val="Compact"/>
        <w:numPr>
          <w:ilvl w:val="0"/>
          <w:numId w:val="1009"/>
        </w:numPr>
      </w:pPr>
      <w:r>
        <w:t xml:space="preserve">Great Barrier Reef Foundation,</w:t>
      </w:r>
      <w:r>
        <w:t xml:space="preserve"> </w:t>
      </w:r>
      <w:r>
        <w:t xml:space="preserve">“Value of the Reef”</w:t>
      </w:r>
      <w:r>
        <w:t xml:space="preserve"> </w:t>
      </w:r>
      <w:r>
        <w:t xml:space="preserve">(2024).</w:t>
      </w:r>
      <w:r>
        <w:t xml:space="preserve"> </w:t>
      </w:r>
      <w:hyperlink r:id="rId63">
        <w:r>
          <w:rPr>
            <w:rStyle w:val="Hyperlink"/>
          </w:rPr>
          <w:t xml:space="preserve">barrierreef.org</w:t>
        </w:r>
      </w:hyperlink>
    </w:p>
    <w:bookmarkEnd w:id="64"/>
    <w:bookmarkStart w:id="71" w:name="disaster-cost-sources"/>
    <w:p>
      <w:pPr>
        <w:pStyle w:val="Heading3"/>
      </w:pPr>
      <w:r>
        <w:t xml:space="preserve">Disaster Cost Sources</w:t>
      </w:r>
    </w:p>
    <w:p>
      <w:pPr>
        <w:pStyle w:val="Compact"/>
        <w:numPr>
          <w:ilvl w:val="0"/>
          <w:numId w:val="1010"/>
        </w:numPr>
      </w:pPr>
      <w:r>
        <w:t xml:space="preserve">Deloitte Access Economics,</w:t>
      </w:r>
      <w:r>
        <w:t xml:space="preserve"> </w:t>
      </w:r>
      <w:r>
        <w:rPr>
          <w:i/>
          <w:iCs/>
        </w:rPr>
        <w:t xml:space="preserve">Building Australia’s Resilience to Natural Disasters</w:t>
      </w:r>
      <w:r>
        <w:t xml:space="preserve"> </w:t>
      </w:r>
      <w:r>
        <w:t xml:space="preserve">(2017).</w:t>
      </w:r>
      <w:r>
        <w:t xml:space="preserve"> </w:t>
      </w:r>
      <w:hyperlink r:id="rId65">
        <w:r>
          <w:rPr>
            <w:rStyle w:val="Hyperlink"/>
          </w:rPr>
          <w:t xml:space="preserve">deloitte.com</w:t>
        </w:r>
      </w:hyperlink>
    </w:p>
    <w:p>
      <w:pPr>
        <w:pStyle w:val="Compact"/>
        <w:numPr>
          <w:ilvl w:val="0"/>
          <w:numId w:val="1010"/>
        </w:numPr>
      </w:pPr>
      <w:r>
        <w:t xml:space="preserve">Australian Business Roundtable for Disaster Resilience and Safer Communities,</w:t>
      </w:r>
      <w:r>
        <w:t xml:space="preserve"> </w:t>
      </w:r>
      <w:r>
        <w:rPr>
          <w:i/>
          <w:iCs/>
        </w:rPr>
        <w:t xml:space="preserve">The Economic Cost of the Social Impact of Natural Disasters</w:t>
      </w:r>
      <w:r>
        <w:t xml:space="preserve"> </w:t>
      </w:r>
      <w:r>
        <w:t xml:space="preserve">(2016).</w:t>
      </w:r>
      <w:r>
        <w:t xml:space="preserve"> </w:t>
      </w:r>
      <w:hyperlink r:id="rId66">
        <w:r>
          <w:rPr>
            <w:rStyle w:val="Hyperlink"/>
          </w:rPr>
          <w:t xml:space="preserve">australianbusinessroundtable.com.au</w:t>
        </w:r>
      </w:hyperlink>
    </w:p>
    <w:p>
      <w:pPr>
        <w:pStyle w:val="Compact"/>
        <w:numPr>
          <w:ilvl w:val="0"/>
          <w:numId w:val="1010"/>
        </w:numPr>
      </w:pPr>
      <w:r>
        <w:t xml:space="preserve">IAG / Deloitte,</w:t>
      </w:r>
      <w:r>
        <w:t xml:space="preserve"> </w:t>
      </w:r>
      <w:r>
        <w:t xml:space="preserve">“Natural disasters estimated to cost Australia $73 billion per year by 2060.”</w:t>
      </w:r>
      <w:r>
        <w:t xml:space="preserve"> </w:t>
      </w:r>
      <w:hyperlink r:id="rId67">
        <w:r>
          <w:rPr>
            <w:rStyle w:val="Hyperlink"/>
          </w:rPr>
          <w:t xml:space="preserve">iag.com.au</w:t>
        </w:r>
      </w:hyperlink>
    </w:p>
    <w:p>
      <w:pPr>
        <w:pStyle w:val="Compact"/>
        <w:numPr>
          <w:ilvl w:val="0"/>
          <w:numId w:val="1010"/>
        </w:numPr>
      </w:pPr>
      <w:r>
        <w:t xml:space="preserve">World Bank,</w:t>
      </w:r>
      <w:r>
        <w:t xml:space="preserve"> </w:t>
      </w:r>
      <w:r>
        <w:rPr>
          <w:i/>
          <w:iCs/>
        </w:rPr>
        <w:t xml:space="preserve">Queensland Recovery and Reconstruction in the Aftermath of the 2010/2011 Flood Events and Cyclone Yasi</w:t>
      </w:r>
      <w:r>
        <w:t xml:space="preserve">.</w:t>
      </w:r>
      <w:r>
        <w:t xml:space="preserve"> </w:t>
      </w:r>
      <w:hyperlink r:id="rId68">
        <w:r>
          <w:rPr>
            <w:rStyle w:val="Hyperlink"/>
          </w:rPr>
          <w:t xml:space="preserve">documents.worldbank.org</w:t>
        </w:r>
      </w:hyperlink>
    </w:p>
    <w:p>
      <w:pPr>
        <w:pStyle w:val="Compact"/>
        <w:numPr>
          <w:ilvl w:val="0"/>
          <w:numId w:val="1010"/>
        </w:numPr>
      </w:pPr>
      <w:r>
        <w:t xml:space="preserve">Climate Council,</w:t>
      </w:r>
      <w:r>
        <w:t xml:space="preserve"> </w:t>
      </w:r>
      <w:r>
        <w:rPr>
          <w:i/>
          <w:iCs/>
        </w:rPr>
        <w:t xml:space="preserve">State of Queensland: Disaster Ground Zero</w:t>
      </w:r>
      <w:r>
        <w:t xml:space="preserve">.</w:t>
      </w:r>
      <w:r>
        <w:t xml:space="preserve"> </w:t>
      </w:r>
      <w:hyperlink r:id="rId69">
        <w:r>
          <w:rPr>
            <w:rStyle w:val="Hyperlink"/>
          </w:rPr>
          <w:t xml:space="preserve">climatecouncil.org.au</w:t>
        </w:r>
      </w:hyperlink>
    </w:p>
    <w:p>
      <w:pPr>
        <w:pStyle w:val="Compact"/>
        <w:numPr>
          <w:ilvl w:val="0"/>
          <w:numId w:val="1010"/>
        </w:numPr>
      </w:pPr>
      <w:r>
        <w:t xml:space="preserve">Australia Institute,</w:t>
      </w:r>
      <w:r>
        <w:t xml:space="preserve"> </w:t>
      </w:r>
      <w:r>
        <w:rPr>
          <w:i/>
          <w:iCs/>
        </w:rPr>
        <w:t xml:space="preserve">Premium Price: The Impact of Climate Change on Insurance Costs</w:t>
      </w:r>
      <w:r>
        <w:t xml:space="preserve"> </w:t>
      </w:r>
      <w:r>
        <w:t xml:space="preserve">(2024).</w:t>
      </w:r>
      <w:r>
        <w:t xml:space="preserve"> </w:t>
      </w:r>
      <w:hyperlink r:id="rId70">
        <w:r>
          <w:rPr>
            <w:rStyle w:val="Hyperlink"/>
          </w:rPr>
          <w:t xml:space="preserve">australiainstitute.org.au</w:t>
        </w:r>
      </w:hyperlink>
    </w:p>
    <w:bookmarkEnd w:id="71"/>
    <w:bookmarkStart w:id="77" w:name="other-sources"/>
    <w:p>
      <w:pPr>
        <w:pStyle w:val="Heading3"/>
      </w:pPr>
      <w:r>
        <w:t xml:space="preserve">Other Sources</w:t>
      </w:r>
    </w:p>
    <w:p>
      <w:pPr>
        <w:pStyle w:val="Compact"/>
        <w:numPr>
          <w:ilvl w:val="0"/>
          <w:numId w:val="1011"/>
        </w:numPr>
      </w:pPr>
      <w:r>
        <w:t xml:space="preserve">CEIC Data,</w:t>
      </w:r>
      <w:r>
        <w:t xml:space="preserve"> </w:t>
      </w:r>
      <w:r>
        <w:rPr>
          <w:i/>
          <w:iCs/>
        </w:rPr>
        <w:t xml:space="preserve">Australia GDP: Queensland</w:t>
      </w:r>
      <w:r>
        <w:t xml:space="preserve"> </w:t>
      </w:r>
      <w:r>
        <w:t xml:space="preserve">and</w:t>
      </w:r>
      <w:r>
        <w:t xml:space="preserve"> </w:t>
      </w:r>
      <w:r>
        <w:rPr>
          <w:i/>
          <w:iCs/>
        </w:rPr>
        <w:t xml:space="preserve">GDP per Capita: Queensland</w:t>
      </w:r>
      <w:r>
        <w:t xml:space="preserve">.</w:t>
      </w:r>
      <w:r>
        <w:t xml:space="preserve"> </w:t>
      </w:r>
      <w:hyperlink r:id="rId72">
        <w:r>
          <w:rPr>
            <w:rStyle w:val="Hyperlink"/>
          </w:rPr>
          <w:t xml:space="preserve">ceicdata.com</w:t>
        </w:r>
      </w:hyperlink>
    </w:p>
    <w:p>
      <w:pPr>
        <w:pStyle w:val="Compact"/>
        <w:numPr>
          <w:ilvl w:val="0"/>
          <w:numId w:val="1011"/>
        </w:numPr>
      </w:pPr>
      <w:r>
        <w:t xml:space="preserve">RBA,</w:t>
      </w:r>
      <w:r>
        <w:t xml:space="preserve"> </w:t>
      </w:r>
      <w:r>
        <w:t xml:space="preserve">“The Economic Performance of the States,”</w:t>
      </w:r>
      <w:r>
        <w:t xml:space="preserve"> </w:t>
      </w:r>
      <w:r>
        <w:rPr>
          <w:i/>
          <w:iCs/>
        </w:rPr>
        <w:t xml:space="preserve">Bulletin</w:t>
      </w:r>
      <w:r>
        <w:t xml:space="preserve">, March 2015.</w:t>
      </w:r>
      <w:r>
        <w:t xml:space="preserve"> </w:t>
      </w:r>
      <w:hyperlink r:id="rId73">
        <w:r>
          <w:rPr>
            <w:rStyle w:val="Hyperlink"/>
          </w:rPr>
          <w:t xml:space="preserve">rba.gov.au</w:t>
        </w:r>
      </w:hyperlink>
    </w:p>
    <w:p>
      <w:pPr>
        <w:pStyle w:val="Compact"/>
        <w:numPr>
          <w:ilvl w:val="0"/>
          <w:numId w:val="1011"/>
        </w:numPr>
      </w:pPr>
      <w:r>
        <w:t xml:space="preserve">RBA,</w:t>
      </w:r>
      <w:r>
        <w:t xml:space="preserve"> </w:t>
      </w:r>
      <w:r>
        <w:t xml:space="preserve">“The Recent Economic Performance of the States,”</w:t>
      </w:r>
      <w:r>
        <w:t xml:space="preserve"> </w:t>
      </w:r>
      <w:r>
        <w:rPr>
          <w:i/>
          <w:iCs/>
        </w:rPr>
        <w:t xml:space="preserve">Bulletin</w:t>
      </w:r>
      <w:r>
        <w:t xml:space="preserve">, March 2017.</w:t>
      </w:r>
      <w:r>
        <w:t xml:space="preserve"> </w:t>
      </w:r>
      <w:hyperlink r:id="rId74">
        <w:r>
          <w:rPr>
            <w:rStyle w:val="Hyperlink"/>
          </w:rPr>
          <w:t xml:space="preserve">rba.gov.au</w:t>
        </w:r>
      </w:hyperlink>
    </w:p>
    <w:p>
      <w:pPr>
        <w:pStyle w:val="Compact"/>
        <w:numPr>
          <w:ilvl w:val="0"/>
          <w:numId w:val="1011"/>
        </w:numPr>
      </w:pPr>
      <w:r>
        <w:t xml:space="preserve">Hawkins, J.,</w:t>
      </w:r>
      <w:r>
        <w:t xml:space="preserve"> </w:t>
      </w:r>
      <w:r>
        <w:t xml:space="preserve">“New data shows the ACT and Queensland economies are beating the rest of the nation,”</w:t>
      </w:r>
      <w:r>
        <w:t xml:space="preserve"> </w:t>
      </w:r>
      <w:r>
        <w:rPr>
          <w:i/>
          <w:iCs/>
        </w:rPr>
        <w:t xml:space="preserve">The Conversation</w:t>
      </w:r>
      <w:r>
        <w:t xml:space="preserve">, 2025.</w:t>
      </w:r>
      <w:r>
        <w:t xml:space="preserve"> </w:t>
      </w:r>
      <w:hyperlink r:id="rId75">
        <w:r>
          <w:rPr>
            <w:rStyle w:val="Hyperlink"/>
          </w:rPr>
          <w:t xml:space="preserve">theconversation.com</w:t>
        </w:r>
      </w:hyperlink>
    </w:p>
    <w:p>
      <w:pPr>
        <w:pStyle w:val="Compact"/>
        <w:numPr>
          <w:ilvl w:val="0"/>
          <w:numId w:val="1011"/>
        </w:numPr>
      </w:pPr>
      <w:r>
        <w:t xml:space="preserve">QTC,</w:t>
      </w:r>
      <w:r>
        <w:t xml:space="preserve"> </w:t>
      </w:r>
      <w:r>
        <w:rPr>
          <w:i/>
          <w:iCs/>
        </w:rPr>
        <w:t xml:space="preserve">Queensland’s Economy and Trade</w:t>
      </w:r>
      <w:r>
        <w:t xml:space="preserve">.</w:t>
      </w:r>
      <w:r>
        <w:t xml:space="preserve"> </w:t>
      </w:r>
      <w:hyperlink r:id="rId76">
        <w:r>
          <w:rPr>
            <w:rStyle w:val="Hyperlink"/>
          </w:rPr>
          <w:t xml:space="preserve">qtc.com.au</w:t>
        </w:r>
      </w:hyperlink>
    </w:p>
    <w:bookmarkEnd w:id="77"/>
    <w:bookmarkEnd w:id="78"/>
    <w:bookmarkEnd w:id="7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0" Target="https://australiainstitute.org.au/report/premium-price-the-impact-of-climate-change-on-insurance-costs/" TargetMode="External" /><Relationship Type="http://schemas.openxmlformats.org/officeDocument/2006/relationships/hyperlink" Id="rId66" Target="https://australianbusinessroundtable.com.au/assets/documents/Report%20-%20Social%20costs/Report%20-%20The%20economic%20cost%20of%20the%20social%20impact%20of%20natural%20disasters.pdf" TargetMode="External" /><Relationship Type="http://schemas.openxmlformats.org/officeDocument/2006/relationships/hyperlink" Id="rId51" Target="https://budget.qld.gov.au/files/Budget-2025-26-BP2-Budget-Strategy-Outlook.pdf" TargetMode="External" /><Relationship Type="http://schemas.openxmlformats.org/officeDocument/2006/relationships/hyperlink" Id="rId52" Target="https://budget.qld.gov.au/files/Budget-2025-26-BP2-Economic-performance-and-outlook.pdf" TargetMode="External" /><Relationship Type="http://schemas.openxmlformats.org/officeDocument/2006/relationships/hyperlink" Id="rId68" Target="https://documents1.worldbank.org/curated/en/842511468220781111/pdf/633930revised00BLIC00QUEENSLAND0web.pdf" TargetMode="External" /><Relationship Type="http://schemas.openxmlformats.org/officeDocument/2006/relationships/hyperlink" Id="rId62" Target="https://outlookreport.gbrmpa.gov.au/threats-responses-and-risks/6-factors-influencing-regions-values/62-drivers-change/621-economic-growth" TargetMode="External" /><Relationship Type="http://schemas.openxmlformats.org/officeDocument/2006/relationships/hyperlink" Id="rId55" Target="https://statements.qld.gov.au/statements/100917" TargetMode="External" /><Relationship Type="http://schemas.openxmlformats.org/officeDocument/2006/relationships/hyperlink" Id="rId56" Target="https://statements.qld.gov.au/statements/98051" TargetMode="External" /><Relationship Type="http://schemas.openxmlformats.org/officeDocument/2006/relationships/hyperlink" Id="rId60" Target="https://teq.queensland.com/content/dam/teq/corporate/corporate-searchable-assets/industry/research/special-reports/Tourism%20Economic%20Key%20Facts%20updated%2026%20March%202025.pdf" TargetMode="External" /><Relationship Type="http://schemas.openxmlformats.org/officeDocument/2006/relationships/hyperlink" Id="rId75" Target="https://theconversation.com/new-data-shows-the-act-and-queensland-economies-are-beating-the-rest-of-the-nation-270068" TargetMode="External" /><Relationship Type="http://schemas.openxmlformats.org/officeDocument/2006/relationships/hyperlink" Id="rId44" Target="https://www.abs.gov.au/statistics/economy/national-accounts/australian-national-accounts-state-accounts/latest-release" TargetMode="External" /><Relationship Type="http://schemas.openxmlformats.org/officeDocument/2006/relationships/hyperlink" Id="rId45" Target="https://www.abs.gov.au/statistics/people/population/national-state-and-territory-population/latest-release" TargetMode="External" /><Relationship Type="http://schemas.openxmlformats.org/officeDocument/2006/relationships/hyperlink" Id="rId58" Target="https://www.agriculture.gov.au/abares/products/insights/snapshot-of-australian-agriculture" TargetMode="External" /><Relationship Type="http://schemas.openxmlformats.org/officeDocument/2006/relationships/hyperlink" Id="rId57" Target="https://www.agriculture.gov.au/abares/research-topics/agricultural-outlook/september-2024" TargetMode="External" /><Relationship Type="http://schemas.openxmlformats.org/officeDocument/2006/relationships/hyperlink" Id="rId63" Target="https://www.barrierreef.org/value-of-the-reef" TargetMode="External" /><Relationship Type="http://schemas.openxmlformats.org/officeDocument/2006/relationships/hyperlink" Id="rId72" Target="https://www.ceicdata.com/en/australia/sna08-gross-domestic-product-and-gross-domestic-product-per-capita-by-state/gdp-queensland" TargetMode="External" /><Relationship Type="http://schemas.openxmlformats.org/officeDocument/2006/relationships/hyperlink" Id="rId69" Target="https://www.climatecouncil.org.au/resources/state-of-queensland-disaster-ground-zero/" TargetMode="External" /><Relationship Type="http://schemas.openxmlformats.org/officeDocument/2006/relationships/hyperlink" Id="rId65" Target="https://www.deloitte.com/au/en/services/economics/perspectives/building-australias-natural-disaster-resilience.html" TargetMode="External" /><Relationship Type="http://schemas.openxmlformats.org/officeDocument/2006/relationships/hyperlink" Id="rId46" Target="https://www.dfat.gov.au/sites/default/files/qld-cef.pdf" TargetMode="External" /><Relationship Type="http://schemas.openxmlformats.org/officeDocument/2006/relationships/hyperlink" Id="rId54" Target="https://www.dpi.qld.gov.au/news-media/campaigns/data-farm/primary-industries" TargetMode="External" /><Relationship Type="http://schemas.openxmlformats.org/officeDocument/2006/relationships/hyperlink" Id="rId67" Target="https://www.iag.com.au/newsroom/community/natural-disasters-estimated-cost-australia-73-billion-year-2060" TargetMode="External" /><Relationship Type="http://schemas.openxmlformats.org/officeDocument/2006/relationships/hyperlink" Id="rId48" Target="https://www.qgso.qld.gov.au/statistics/theme/economy/economic-activity/queensland-state-accounts" TargetMode="External" /><Relationship Type="http://schemas.openxmlformats.org/officeDocument/2006/relationships/hyperlink" Id="rId47" Target="https://www.qgso.qld.gov.au/statistics/theme/economy/economic-activity/state-accounts" TargetMode="External" /><Relationship Type="http://schemas.openxmlformats.org/officeDocument/2006/relationships/hyperlink" Id="rId76" Target="https://www.qtc.com.au/queensland/queenslands-economy-and-trade/" TargetMode="External" /><Relationship Type="http://schemas.openxmlformats.org/officeDocument/2006/relationships/hyperlink" Id="rId73" Target="https://www.rba.gov.au/publications/bulletin/2015/mar/2.html" TargetMode="External" /><Relationship Type="http://schemas.openxmlformats.org/officeDocument/2006/relationships/hyperlink" Id="rId74" Target="https://www.rba.gov.au/publications/bulletin/2017/mar/1.html" TargetMode="External" /><Relationship Type="http://schemas.openxmlformats.org/officeDocument/2006/relationships/hyperlink" Id="rId61" Target="https://www.tra.gov.au/en/economic-analysis/tourism-satellite-accounts/state-tourism-satellite-account" TargetMode="External" /><Relationship Type="http://schemas.openxmlformats.org/officeDocument/2006/relationships/hyperlink" Id="rId49" Target="https://www.treasury.qld.gov.au/policies-and-programs/economy/queenslands-economy/" TargetMode="External" /></Relationships>
</file>

<file path=word/_rels/footnotes.xml.rels><?xml version="1.0" encoding="UTF-8"?><Relationships xmlns="http://schemas.openxmlformats.org/package/2006/relationships"><Relationship Type="http://schemas.openxmlformats.org/officeDocument/2006/relationships/hyperlink" Id="rId70" Target="https://australiainstitute.org.au/report/premium-price-the-impact-of-climate-change-on-insurance-costs/" TargetMode="External" /><Relationship Type="http://schemas.openxmlformats.org/officeDocument/2006/relationships/hyperlink" Id="rId66" Target="https://australianbusinessroundtable.com.au/assets/documents/Report%20-%20Social%20costs/Report%20-%20The%20economic%20cost%20of%20the%20social%20impact%20of%20natural%20disasters.pdf" TargetMode="External" /><Relationship Type="http://schemas.openxmlformats.org/officeDocument/2006/relationships/hyperlink" Id="rId51" Target="https://budget.qld.gov.au/files/Budget-2025-26-BP2-Budget-Strategy-Outlook.pdf" TargetMode="External" /><Relationship Type="http://schemas.openxmlformats.org/officeDocument/2006/relationships/hyperlink" Id="rId52" Target="https://budget.qld.gov.au/files/Budget-2025-26-BP2-Economic-performance-and-outlook.pdf" TargetMode="External" /><Relationship Type="http://schemas.openxmlformats.org/officeDocument/2006/relationships/hyperlink" Id="rId68" Target="https://documents1.worldbank.org/curated/en/842511468220781111/pdf/633930revised00BLIC00QUEENSLAND0web.pdf" TargetMode="External" /><Relationship Type="http://schemas.openxmlformats.org/officeDocument/2006/relationships/hyperlink" Id="rId62" Target="https://outlookreport.gbrmpa.gov.au/threats-responses-and-risks/6-factors-influencing-regions-values/62-drivers-change/621-economic-growth" TargetMode="External" /><Relationship Type="http://schemas.openxmlformats.org/officeDocument/2006/relationships/hyperlink" Id="rId55" Target="https://statements.qld.gov.au/statements/100917" TargetMode="External" /><Relationship Type="http://schemas.openxmlformats.org/officeDocument/2006/relationships/hyperlink" Id="rId56" Target="https://statements.qld.gov.au/statements/98051" TargetMode="External" /><Relationship Type="http://schemas.openxmlformats.org/officeDocument/2006/relationships/hyperlink" Id="rId60" Target="https://teq.queensland.com/content/dam/teq/corporate/corporate-searchable-assets/industry/research/special-reports/Tourism%20Economic%20Key%20Facts%20updated%2026%20March%202025.pdf" TargetMode="External" /><Relationship Type="http://schemas.openxmlformats.org/officeDocument/2006/relationships/hyperlink" Id="rId75" Target="https://theconversation.com/new-data-shows-the-act-and-queensland-economies-are-beating-the-rest-of-the-nation-270068" TargetMode="External" /><Relationship Type="http://schemas.openxmlformats.org/officeDocument/2006/relationships/hyperlink" Id="rId44" Target="https://www.abs.gov.au/statistics/economy/national-accounts/australian-national-accounts-state-accounts/latest-release" TargetMode="External" /><Relationship Type="http://schemas.openxmlformats.org/officeDocument/2006/relationships/hyperlink" Id="rId45" Target="https://www.abs.gov.au/statistics/people/population/national-state-and-territory-population/latest-release" TargetMode="External" /><Relationship Type="http://schemas.openxmlformats.org/officeDocument/2006/relationships/hyperlink" Id="rId58" Target="https://www.agriculture.gov.au/abares/products/insights/snapshot-of-australian-agriculture" TargetMode="External" /><Relationship Type="http://schemas.openxmlformats.org/officeDocument/2006/relationships/hyperlink" Id="rId57" Target="https://www.agriculture.gov.au/abares/research-topics/agricultural-outlook/september-2024" TargetMode="External" /><Relationship Type="http://schemas.openxmlformats.org/officeDocument/2006/relationships/hyperlink" Id="rId63" Target="https://www.barrierreef.org/value-of-the-reef" TargetMode="External" /><Relationship Type="http://schemas.openxmlformats.org/officeDocument/2006/relationships/hyperlink" Id="rId72" Target="https://www.ceicdata.com/en/australia/sna08-gross-domestic-product-and-gross-domestic-product-per-capita-by-state/gdp-queensland" TargetMode="External" /><Relationship Type="http://schemas.openxmlformats.org/officeDocument/2006/relationships/hyperlink" Id="rId69" Target="https://www.climatecouncil.org.au/resources/state-of-queensland-disaster-ground-zero/" TargetMode="External" /><Relationship Type="http://schemas.openxmlformats.org/officeDocument/2006/relationships/hyperlink" Id="rId65" Target="https://www.deloitte.com/au/en/services/economics/perspectives/building-australias-natural-disaster-resilience.html" TargetMode="External" /><Relationship Type="http://schemas.openxmlformats.org/officeDocument/2006/relationships/hyperlink" Id="rId46" Target="https://www.dfat.gov.au/sites/default/files/qld-cef.pdf" TargetMode="External" /><Relationship Type="http://schemas.openxmlformats.org/officeDocument/2006/relationships/hyperlink" Id="rId54" Target="https://www.dpi.qld.gov.au/news-media/campaigns/data-farm/primary-industries" TargetMode="External" /><Relationship Type="http://schemas.openxmlformats.org/officeDocument/2006/relationships/hyperlink" Id="rId67" Target="https://www.iag.com.au/newsroom/community/natural-disasters-estimated-cost-australia-73-billion-year-2060" TargetMode="External" /><Relationship Type="http://schemas.openxmlformats.org/officeDocument/2006/relationships/hyperlink" Id="rId48" Target="https://www.qgso.qld.gov.au/statistics/theme/economy/economic-activity/queensland-state-accounts" TargetMode="External" /><Relationship Type="http://schemas.openxmlformats.org/officeDocument/2006/relationships/hyperlink" Id="rId47" Target="https://www.qgso.qld.gov.au/statistics/theme/economy/economic-activity/state-accounts" TargetMode="External" /><Relationship Type="http://schemas.openxmlformats.org/officeDocument/2006/relationships/hyperlink" Id="rId76" Target="https://www.qtc.com.au/queensland/queenslands-economy-and-trade/" TargetMode="External" /><Relationship Type="http://schemas.openxmlformats.org/officeDocument/2006/relationships/hyperlink" Id="rId73" Target="https://www.rba.gov.au/publications/bulletin/2015/mar/2.html" TargetMode="External" /><Relationship Type="http://schemas.openxmlformats.org/officeDocument/2006/relationships/hyperlink" Id="rId74" Target="https://www.rba.gov.au/publications/bulletin/2017/mar/1.html" TargetMode="External" /><Relationship Type="http://schemas.openxmlformats.org/officeDocument/2006/relationships/hyperlink" Id="rId61" Target="https://www.tra.gov.au/en/economic-analysis/tourism-satellite-accounts/state-tourism-satellite-account" TargetMode="External" /><Relationship Type="http://schemas.openxmlformats.org/officeDocument/2006/relationships/hyperlink" Id="rId49" Target="https://www.treasury.qld.gov.au/policies-and-programs/economy/queenslands-econom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2026-04-10T01:35:13Z</dcterms:created>
  <dcterms:modified xsi:type="dcterms:W3CDTF">2026-04-10T01:35:13Z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tbl-cap-location">
    <vt:lpwstr>bottom</vt:lpwstr>
  </property>
  <property fmtid="{D5CDD505-2E9C-101B-9397-08002B2CF9AE}" pid="10" name="toc-title">
    <vt:lpwstr>Table of contents</vt:lpwstr>
  </property>
</Properties>
</file>