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4.png" ContentType="image/png"/>
  <Override PartName="/word/media/rId20.png" ContentType="image/png"/>
  <Override PartName="/word/media/rId28.png" ContentType="image/png"/>
  <Override PartName="/word/media/rId33.png" ContentType="image/png"/>
  <Override PartName="/word/media/rId37.png" ContentType="image/png"/>
  <Override PartName="/word/media/rId45.png" ContentType="image/png"/>
  <Override PartName="/word/media/rId41.png" ContentType="image/png"/>
  <Override PartName="/word/media/rId49.png" ContentType="image/png"/>
  <Override PartName="/word/media/rId54.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Know your NEM</w:t>
      </w:r>
    </w:p>
    <w:p>
      <w:pPr>
        <w:pStyle w:val="Author"/>
      </w:pPr>
      <w:r>
        <w:t xml:space="preserve">David Leitch</w:t>
      </w:r>
    </w:p>
    <w:p>
      <w:pPr>
        <w:pStyle w:val="Date"/>
      </w:pPr>
      <w:r>
        <w:t xml:space="preserve">2025-02-04</w:t>
      </w:r>
    </w:p>
    <w:bookmarkStart w:id="32" w:name="the-jaws-tighten"/>
    <w:p>
      <w:pPr>
        <w:pStyle w:val="Heading2"/>
      </w:pPr>
      <w:r>
        <w:t xml:space="preserve">The jaws tighten</w:t>
      </w:r>
    </w:p>
    <w:p>
      <w:pPr>
        <w:pStyle w:val="FirstParagraph"/>
      </w:pPr>
      <w:r>
        <w:t xml:space="preserve">The following figure shows a 180 day moving average of thermal (coal + gas) l v non-thermal (VRE + hydro) electricity production. The moving average lags what’s going on but presents a better, longer term view . I used 180 days because it shows the seasonality, you can see how the thermal share increases in Winter and the renewable share increases in Spring. Right now the renewable share is around its max for this season.</w:t>
      </w:r>
    </w:p>
    <w:tbl>
      <w:tblPr>
        <w:tblStyle w:val="Table"/>
        <w:tblW w:type="pct" w:w="5000"/>
        <w:tblLayout w:type="fixed"/>
        <w:tblLook w:firstRow="0" w:lastRow="0" w:firstColumn="0" w:lastColumn="0" w:noHBand="0" w:noVBand="0" w:val="0000"/>
      </w:tblPr>
      <w:tblGrid>
        <w:gridCol w:w="7920"/>
      </w:tblGrid>
      <w:tr>
        <w:tc>
          <w:tcPr/>
          <w:bookmarkStart w:id="23" w:name="fig-"/>
          <w:p>
            <w:pPr>
              <w:pStyle w:val="Compact"/>
              <w:jc w:val="center"/>
            </w:pPr>
            <w:r>
              <w:drawing>
                <wp:inline>
                  <wp:extent cx="4267200" cy="2340658"/>
                  <wp:effectExtent b="0" l="0" r="0" t="0"/>
                  <wp:docPr descr="" title="" id="21" name="Picture"/>
                  <a:graphic>
                    <a:graphicData uri="http://schemas.openxmlformats.org/drawingml/2006/picture">
                      <pic:pic>
                        <pic:nvPicPr>
                          <pic:cNvPr descr="../media/image-20250203115449364.png" id="22" name="Picture"/>
                          <pic:cNvPicPr>
                            <a:picLocks noChangeArrowheads="1" noChangeAspect="1"/>
                          </pic:cNvPicPr>
                        </pic:nvPicPr>
                        <pic:blipFill>
                          <a:blip r:embed="rId20"/>
                          <a:stretch>
                            <a:fillRect/>
                          </a:stretch>
                        </pic:blipFill>
                        <pic:spPr bwMode="auto">
                          <a:xfrm>
                            <a:off x="0" y="0"/>
                            <a:ext cx="4267200" cy="2340658"/>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Thermal v Renewables. Data:NEM Review</w:t>
            </w:r>
          </w:p>
          <w:bookmarkEnd w:id="23"/>
        </w:tc>
      </w:tr>
    </w:tbl>
    <w:p>
      <w:pPr>
        <w:pStyle w:val="BodyText"/>
      </w:pPr>
      <w:r>
        <w:t xml:space="preserve">The figure shows the low wind situation during Winter 2024 but the trend is fairly clear. More detailed analysis is required but given that overall growth in</w:t>
      </w:r>
      <w:r>
        <w:t xml:space="preserve"> </w:t>
      </w:r>
      <w:r>
        <w:t xml:space="preserve">“underlying”</w:t>
      </w:r>
      <w:r>
        <w:t xml:space="preserve"> </w:t>
      </w:r>
      <w:r>
        <w:t xml:space="preserve">electricity demand remains modest every MWh that VRE gains is more less 1 MWh that thermal generation loses. So essentially 11 TWh more of VRE will see the lines cross.</w:t>
      </w:r>
    </w:p>
    <w:p>
      <w:pPr>
        <w:pStyle w:val="BodyText"/>
      </w:pPr>
      <w:r>
        <w:t xml:space="preserve">In a figure that will suprise noone the heavy lifting in the growth of VRE production is being done by rooftop solar. That said wind capacity has increased by around 2 GW v last year but hasn’t fully ramped up. At a capacity factor of say 35% 2 GW of wind produces about 3 TWh and rooftop solar produces an incremental 1.5 TWh each year.</w:t>
      </w:r>
    </w:p>
    <w:tbl>
      <w:tblPr>
        <w:tblStyle w:val="Table"/>
        <w:tblW w:type="pct" w:w="5000"/>
        <w:tblLayout w:type="fixed"/>
        <w:tblLook w:firstRow="0" w:lastRow="0" w:firstColumn="0" w:lastColumn="0" w:noHBand="0" w:noVBand="0" w:val="0000"/>
      </w:tblPr>
      <w:tblGrid>
        <w:gridCol w:w="7920"/>
      </w:tblGrid>
      <w:tr>
        <w:tc>
          <w:tcPr/>
          <w:bookmarkStart w:id="27" w:name="fig-"/>
          <w:p>
            <w:pPr>
              <w:pStyle w:val="Compact"/>
              <w:jc w:val="center"/>
            </w:pPr>
            <w:r>
              <w:drawing>
                <wp:inline>
                  <wp:extent cx="4267200" cy="2361759"/>
                  <wp:effectExtent b="0" l="0" r="0" t="0"/>
                  <wp:docPr descr="" title="" id="25" name="Picture"/>
                  <a:graphic>
                    <a:graphicData uri="http://schemas.openxmlformats.org/drawingml/2006/picture">
                      <pic:pic>
                        <pic:nvPicPr>
                          <pic:cNvPr descr="../media/image-20250203115345812.png" id="26" name="Picture"/>
                          <pic:cNvPicPr>
                            <a:picLocks noChangeArrowheads="1" noChangeAspect="1"/>
                          </pic:cNvPicPr>
                        </pic:nvPicPr>
                        <pic:blipFill>
                          <a:blip r:embed="rId24"/>
                          <a:stretch>
                            <a:fillRect/>
                          </a:stretch>
                        </pic:blipFill>
                        <pic:spPr bwMode="auto">
                          <a:xfrm>
                            <a:off x="0" y="0"/>
                            <a:ext cx="4267200" cy="2361759"/>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VRE Data:NEM Review</w:t>
            </w:r>
          </w:p>
          <w:bookmarkEnd w:id="27"/>
        </w:tc>
      </w:tr>
    </w:tbl>
    <w:p>
      <w:pPr>
        <w:pStyle w:val="BodyText"/>
      </w:pPr>
      <w:r>
        <w:t xml:space="preserve">Even a more normal Winter will help this trailing average.</w:t>
      </w:r>
    </w:p>
    <w:p>
      <w:pPr>
        <w:pStyle w:val="BodyText"/>
      </w:pPr>
      <w:r>
        <w:t xml:space="preserve">Looking at the shares over the past week, far more influenced by short term weather, the VRE share was 41% and renewables share 45%. The pleasing thing is the growth in wind.</w:t>
      </w:r>
    </w:p>
    <w:tbl>
      <w:tblPr>
        <w:tblStyle w:val="Table"/>
        <w:tblW w:type="pct" w:w="5000"/>
        <w:tblLayout w:type="fixed"/>
        <w:tblLook w:firstRow="0" w:lastRow="0" w:firstColumn="0" w:lastColumn="0" w:noHBand="0" w:noVBand="0" w:val="0000"/>
      </w:tblPr>
      <w:tblGrid>
        <w:gridCol w:w="7920"/>
      </w:tblGrid>
      <w:tr>
        <w:tc>
          <w:tcPr/>
          <w:bookmarkStart w:id="31" w:name="fig-"/>
          <w:p>
            <w:pPr>
              <w:pStyle w:val="Compact"/>
              <w:jc w:val="center"/>
            </w:pPr>
            <w:r>
              <w:drawing>
                <wp:inline>
                  <wp:extent cx="4267200" cy="2471500"/>
                  <wp:effectExtent b="0" l="0" r="0" t="0"/>
                  <wp:docPr descr="" title="" id="29" name="Picture"/>
                  <a:graphic>
                    <a:graphicData uri="http://schemas.openxmlformats.org/drawingml/2006/picture">
                      <pic:pic>
                        <pic:nvPicPr>
                          <pic:cNvPr descr="../media/image-20250203115516362.png" id="30" name="Picture"/>
                          <pic:cNvPicPr>
                            <a:picLocks noChangeArrowheads="1" noChangeAspect="1"/>
                          </pic:cNvPicPr>
                        </pic:nvPicPr>
                        <pic:blipFill>
                          <a:blip r:embed="rId28"/>
                          <a:stretch>
                            <a:fillRect/>
                          </a:stretch>
                        </pic:blipFill>
                        <pic:spPr bwMode="auto">
                          <a:xfrm>
                            <a:off x="0" y="0"/>
                            <a:ext cx="4267200" cy="24715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Recent fuel shares. Data:NEM Review</w:t>
            </w:r>
          </w:p>
          <w:bookmarkEnd w:id="31"/>
        </w:tc>
      </w:tr>
    </w:tbl>
    <w:bookmarkEnd w:id="32"/>
    <w:bookmarkStart w:id="53" w:name="but-spot-prices-arent-trending-down"/>
    <w:p>
      <w:pPr>
        <w:pStyle w:val="Heading2"/>
      </w:pPr>
      <w:r>
        <w:t xml:space="preserve">But spot prices aren’t trending down</w:t>
      </w:r>
    </w:p>
    <w:p>
      <w:pPr>
        <w:pStyle w:val="FirstParagraph"/>
      </w:pPr>
      <w:r>
        <w:t xml:space="preserve">Increasingly what I think I’m seeing is spot prices that are mostly low, with very high occasional spikes. South Australia is a relatively small market and depending on your perspective price is vulnerable to relative small shifts in conditions and/or being manipulated.</w:t>
      </w:r>
    </w:p>
    <w:tbl>
      <w:tblPr>
        <w:tblStyle w:val="Table"/>
        <w:tblW w:type="pct" w:w="5000"/>
        <w:tblLayout w:type="fixed"/>
        <w:tblLook w:firstRow="0" w:lastRow="0" w:firstColumn="0" w:lastColumn="0" w:noHBand="0" w:noVBand="0" w:val="0000"/>
      </w:tblPr>
      <w:tblGrid>
        <w:gridCol w:w="7920"/>
      </w:tblGrid>
      <w:tr>
        <w:tc>
          <w:tcPr/>
          <w:bookmarkStart w:id="36" w:name="fig-"/>
          <w:p>
            <w:pPr>
              <w:pStyle w:val="Compact"/>
              <w:jc w:val="center"/>
            </w:pPr>
            <w:r>
              <w:drawing>
                <wp:inline>
                  <wp:extent cx="4267200" cy="3136347"/>
                  <wp:effectExtent b="0" l="0" r="0" t="0"/>
                  <wp:docPr descr="" title="" id="34" name="Picture"/>
                  <a:graphic>
                    <a:graphicData uri="http://schemas.openxmlformats.org/drawingml/2006/picture">
                      <pic:pic>
                        <pic:nvPicPr>
                          <pic:cNvPr descr="../media/image-20250203115555769.png" id="35" name="Picture"/>
                          <pic:cNvPicPr>
                            <a:picLocks noChangeArrowheads="1" noChangeAspect="1"/>
                          </pic:cNvPicPr>
                        </pic:nvPicPr>
                        <pic:blipFill>
                          <a:blip r:embed="rId33"/>
                          <a:stretch>
                            <a:fillRect/>
                          </a:stretch>
                        </pic:blipFill>
                        <pic:spPr bwMode="auto">
                          <a:xfrm>
                            <a:off x="0" y="0"/>
                            <a:ext cx="4267200" cy="3136347"/>
                          </a:xfrm>
                          <a:prstGeom prst="rect">
                            <a:avLst/>
                          </a:prstGeom>
                          <a:noFill/>
                          <a:ln w="9525">
                            <a:noFill/>
                            <a:headEnd/>
                            <a:tailEnd/>
                          </a:ln>
                        </pic:spPr>
                      </pic:pic>
                    </a:graphicData>
                  </a:graphic>
                </wp:inline>
              </w:drawing>
            </w:r>
          </w:p>
          <w:p>
            <w:pPr>
              <w:jc w:val="center"/>
            </w:pPr>
            <w:pPr>
              <w:jc w:val="start"/>
              <w:spacing w:before="200"/>
              <w:pStyle w:val="ImageCaption"/>
            </w:pPr>
            <w:r>
              <w:t xml:space="preserve">Figure 4: Flat prices. Data:NEM Review</w:t>
            </w:r>
          </w:p>
          <w:bookmarkEnd w:id="36"/>
        </w:tc>
      </w:tr>
    </w:tbl>
    <w:p>
      <w:pPr>
        <w:pStyle w:val="BodyText"/>
      </w:pPr>
      <w:r>
        <w:t xml:space="preserve">Its flat prices, if anything, that the mainstream media talks about, but it is encouraging to see that wind and solar prices have kind of held up during this period of generally abundant supply.</w:t>
      </w:r>
    </w:p>
    <w:tbl>
      <w:tblPr>
        <w:tblStyle w:val="Table"/>
        <w:tblW w:type="pct" w:w="5000"/>
        <w:tblLayout w:type="fixed"/>
        <w:tblLook w:firstRow="0" w:lastRow="0" w:firstColumn="0" w:lastColumn="0" w:noHBand="0" w:noVBand="0" w:val="0000"/>
      </w:tblPr>
      <w:tblGrid>
        <w:gridCol w:w="7920"/>
      </w:tblGrid>
      <w:tr>
        <w:tc>
          <w:tcPr/>
          <w:bookmarkStart w:id="40" w:name="fig-"/>
          <w:p>
            <w:pPr>
              <w:pStyle w:val="Compact"/>
              <w:jc w:val="center"/>
            </w:pPr>
            <w:r>
              <w:drawing>
                <wp:inline>
                  <wp:extent cx="2667000" cy="3166505"/>
                  <wp:effectExtent b="0" l="0" r="0" t="0"/>
                  <wp:docPr descr="" title="" id="38" name="Picture"/>
                  <a:graphic>
                    <a:graphicData uri="http://schemas.openxmlformats.org/drawingml/2006/picture">
                      <pic:pic>
                        <pic:nvPicPr>
                          <pic:cNvPr descr="../media/image-20250203115625933.png" id="39" name="Picture"/>
                          <pic:cNvPicPr>
                            <a:picLocks noChangeArrowheads="1" noChangeAspect="1"/>
                          </pic:cNvPicPr>
                        </pic:nvPicPr>
                        <pic:blipFill>
                          <a:blip r:embed="rId37"/>
                          <a:stretch>
                            <a:fillRect/>
                          </a:stretch>
                        </pic:blipFill>
                        <pic:spPr bwMode="auto">
                          <a:xfrm>
                            <a:off x="0" y="0"/>
                            <a:ext cx="2667000" cy="3166505"/>
                          </a:xfrm>
                          <a:prstGeom prst="rect">
                            <a:avLst/>
                          </a:prstGeom>
                          <a:noFill/>
                          <a:ln w="9525">
                            <a:noFill/>
                            <a:headEnd/>
                            <a:tailEnd/>
                          </a:ln>
                        </pic:spPr>
                      </pic:pic>
                    </a:graphicData>
                  </a:graphic>
                </wp:inline>
              </w:drawing>
            </w:r>
          </w:p>
          <w:p>
            <w:pPr>
              <w:jc w:val="center"/>
            </w:pPr>
            <w:pPr>
              <w:jc w:val="start"/>
              <w:spacing w:before="200"/>
              <w:pStyle w:val="ImageCaption"/>
            </w:pPr>
            <w:r>
              <w:t xml:space="preserve">Figure 5: Fuel weighted prices. Data:NEM Review</w:t>
            </w:r>
          </w:p>
          <w:bookmarkEnd w:id="40"/>
        </w:tc>
      </w:tr>
    </w:tbl>
    <w:p>
      <w:pPr>
        <w:pStyle w:val="BodyText"/>
      </w:pPr>
      <w:r>
        <w:t xml:space="preserve">In the following 8 day average chart what shows up is one price spike that pushed prices briefly over $14,000/MWh is enough to move the average price up to $74/MWh even though most prices in South Australia we well below that.</w:t>
      </w:r>
    </w:p>
    <w:tbl>
      <w:tblPr>
        <w:tblStyle w:val="Table"/>
        <w:tblW w:type="pct" w:w="5000"/>
        <w:tblLayout w:type="fixed"/>
        <w:tblLook w:firstRow="0" w:lastRow="0" w:firstColumn="0" w:lastColumn="0" w:noHBand="0" w:noVBand="0" w:val="0000"/>
      </w:tblPr>
      <w:tblGrid>
        <w:gridCol w:w="7920"/>
      </w:tblGrid>
      <w:tr>
        <w:tc>
          <w:tcPr/>
          <w:bookmarkStart w:id="44" w:name="fig-"/>
          <w:p>
            <w:pPr>
              <w:pStyle w:val="Compact"/>
              <w:jc w:val="center"/>
            </w:pPr>
            <w:r>
              <w:drawing>
                <wp:inline>
                  <wp:extent cx="4800600" cy="2529271"/>
                  <wp:effectExtent b="0" l="0" r="0" t="0"/>
                  <wp:docPr descr="" title="" id="42" name="Picture"/>
                  <a:graphic>
                    <a:graphicData uri="http://schemas.openxmlformats.org/drawingml/2006/picture">
                      <pic:pic>
                        <pic:nvPicPr>
                          <pic:cNvPr descr="../media/image-20250203115754911.png" id="43" name="Picture"/>
                          <pic:cNvPicPr>
                            <a:picLocks noChangeArrowheads="1" noChangeAspect="1"/>
                          </pic:cNvPicPr>
                        </pic:nvPicPr>
                        <pic:blipFill>
                          <a:blip r:embed="rId41"/>
                          <a:stretch>
                            <a:fillRect/>
                          </a:stretch>
                        </pic:blipFill>
                        <pic:spPr bwMode="auto">
                          <a:xfrm>
                            <a:off x="0" y="0"/>
                            <a:ext cx="4800600" cy="2529271"/>
                          </a:xfrm>
                          <a:prstGeom prst="rect">
                            <a:avLst/>
                          </a:prstGeom>
                          <a:noFill/>
                          <a:ln w="9525">
                            <a:noFill/>
                            <a:headEnd/>
                            <a:tailEnd/>
                          </a:ln>
                        </pic:spPr>
                      </pic:pic>
                    </a:graphicData>
                  </a:graphic>
                </wp:inline>
              </w:drawing>
            </w:r>
          </w:p>
          <w:p>
            <w:pPr>
              <w:jc w:val="center"/>
            </w:pPr>
            <w:pPr>
              <w:jc w:val="start"/>
              <w:spacing w:before="200"/>
              <w:pStyle w:val="ImageCaption"/>
            </w:pPr>
            <w:r>
              <w:t xml:space="preserve">Figure 6: Sth Aust. Time of day. Data: NEM Review</w:t>
            </w:r>
          </w:p>
          <w:bookmarkEnd w:id="44"/>
        </w:tc>
      </w:tr>
    </w:tbl>
    <w:p>
      <w:pPr>
        <w:pStyle w:val="BodyText"/>
      </w:pPr>
      <w:r>
        <w:t xml:space="preserve">That spike happened, I think yesterday and the chart shows reduced imports, anticipated because gas supply had increased ahead of the disruption.</w:t>
      </w:r>
    </w:p>
    <w:tbl>
      <w:tblPr>
        <w:tblStyle w:val="Table"/>
        <w:tblW w:type="pct" w:w="5000"/>
        <w:tblLayout w:type="fixed"/>
        <w:tblLook w:firstRow="0" w:lastRow="0" w:firstColumn="0" w:lastColumn="0" w:noHBand="0" w:noVBand="0" w:val="0000"/>
      </w:tblPr>
      <w:tblGrid>
        <w:gridCol w:w="7920"/>
      </w:tblGrid>
      <w:tr>
        <w:tc>
          <w:tcPr/>
          <w:bookmarkStart w:id="48" w:name="fig-"/>
          <w:p>
            <w:pPr>
              <w:pStyle w:val="Compact"/>
              <w:jc w:val="center"/>
            </w:pPr>
            <w:r>
              <w:drawing>
                <wp:inline>
                  <wp:extent cx="4800600" cy="2529271"/>
                  <wp:effectExtent b="0" l="0" r="0" t="0"/>
                  <wp:docPr descr="" title="" id="46" name="Picture"/>
                  <a:graphic>
                    <a:graphicData uri="http://schemas.openxmlformats.org/drawingml/2006/picture">
                      <pic:pic>
                        <pic:nvPicPr>
                          <pic:cNvPr descr="../media/image-20250203115702995.png" id="47" name="Picture"/>
                          <pic:cNvPicPr>
                            <a:picLocks noChangeArrowheads="1" noChangeAspect="1"/>
                          </pic:cNvPicPr>
                        </pic:nvPicPr>
                        <pic:blipFill>
                          <a:blip r:embed="rId45"/>
                          <a:stretch>
                            <a:fillRect/>
                          </a:stretch>
                        </pic:blipFill>
                        <pic:spPr bwMode="auto">
                          <a:xfrm>
                            <a:off x="0" y="0"/>
                            <a:ext cx="4800600" cy="2529271"/>
                          </a:xfrm>
                          <a:prstGeom prst="rect">
                            <a:avLst/>
                          </a:prstGeom>
                          <a:noFill/>
                          <a:ln w="9525">
                            <a:noFill/>
                            <a:headEnd/>
                            <a:tailEnd/>
                          </a:ln>
                        </pic:spPr>
                      </pic:pic>
                    </a:graphicData>
                  </a:graphic>
                </wp:inline>
              </w:drawing>
            </w:r>
          </w:p>
          <w:p>
            <w:pPr>
              <w:jc w:val="center"/>
            </w:pPr>
            <w:pPr>
              <w:jc w:val="start"/>
              <w:spacing w:before="200"/>
              <w:pStyle w:val="ImageCaption"/>
            </w:pPr>
            <w:r>
              <w:t xml:space="preserve">Figure 7: SA Time of Day. Data:NEM Review</w:t>
            </w:r>
          </w:p>
          <w:bookmarkEnd w:id="48"/>
        </w:tc>
      </w:tr>
    </w:tbl>
    <w:p>
      <w:pPr>
        <w:pStyle w:val="BodyText"/>
      </w:pPr>
      <w:r>
        <w:t xml:space="preserve">That spike had a much smaller impact in in Victoria (but risks increase when Yallourn closes or if an LYA unit breaks) and the average price is much lower. The figure below shows the 8 day picture for Victoria but if I just looked at yesterday I’d have seen hydro, gas and batteries at much higher outputs during the spike. Batteries in both SA and VIC appear to have captured the price spike but as seen in the table above right now the best place on average to have a battery is QLD.</w:t>
      </w:r>
    </w:p>
    <w:tbl>
      <w:tblPr>
        <w:tblStyle w:val="Table"/>
        <w:tblW w:type="pct" w:w="5000"/>
        <w:tblLayout w:type="fixed"/>
        <w:tblLook w:firstRow="0" w:lastRow="0" w:firstColumn="0" w:lastColumn="0" w:noHBand="0" w:noVBand="0" w:val="0000"/>
      </w:tblPr>
      <w:tblGrid>
        <w:gridCol w:w="7920"/>
      </w:tblGrid>
      <w:tr>
        <w:tc>
          <w:tcPr/>
          <w:bookmarkStart w:id="52" w:name="fig-"/>
          <w:p>
            <w:pPr>
              <w:pStyle w:val="Compact"/>
              <w:jc w:val="center"/>
            </w:pPr>
            <w:r>
              <w:drawing>
                <wp:inline>
                  <wp:extent cx="4800600" cy="2529271"/>
                  <wp:effectExtent b="0" l="0" r="0" t="0"/>
                  <wp:docPr descr="" title="" id="50" name="Picture"/>
                  <a:graphic>
                    <a:graphicData uri="http://schemas.openxmlformats.org/drawingml/2006/picture">
                      <pic:pic>
                        <pic:nvPicPr>
                          <pic:cNvPr descr="../media/image-20250203115829003.png" id="51" name="Picture"/>
                          <pic:cNvPicPr>
                            <a:picLocks noChangeArrowheads="1" noChangeAspect="1"/>
                          </pic:cNvPicPr>
                        </pic:nvPicPr>
                        <pic:blipFill>
                          <a:blip r:embed="rId49"/>
                          <a:stretch>
                            <a:fillRect/>
                          </a:stretch>
                        </pic:blipFill>
                        <pic:spPr bwMode="auto">
                          <a:xfrm>
                            <a:off x="0" y="0"/>
                            <a:ext cx="4800600" cy="2529271"/>
                          </a:xfrm>
                          <a:prstGeom prst="rect">
                            <a:avLst/>
                          </a:prstGeom>
                          <a:noFill/>
                          <a:ln w="9525">
                            <a:noFill/>
                            <a:headEnd/>
                            <a:tailEnd/>
                          </a:ln>
                        </pic:spPr>
                      </pic:pic>
                    </a:graphicData>
                  </a:graphic>
                </wp:inline>
              </w:drawing>
            </w:r>
          </w:p>
          <w:p>
            <w:pPr>
              <w:jc w:val="center"/>
            </w:pPr>
            <w:pPr>
              <w:jc w:val="start"/>
              <w:spacing w:before="200"/>
              <w:pStyle w:val="ImageCaption"/>
            </w:pPr>
            <w:r>
              <w:t xml:space="preserve">Figure 8: Victoria time of day. Data:NEM Review</w:t>
            </w:r>
          </w:p>
          <w:bookmarkEnd w:id="52"/>
        </w:tc>
      </w:tr>
    </w:tbl>
    <w:bookmarkEnd w:id="53"/>
    <w:bookmarkStart w:id="58" w:name="X4a1301e9bc6e4a6ce073fe3e00538c951c3345e"/>
    <w:p>
      <w:pPr>
        <w:pStyle w:val="Heading2"/>
      </w:pPr>
      <w:r>
        <w:t xml:space="preserve">Conclusion - more batteries will reduce price spikes.</w:t>
      </w:r>
    </w:p>
    <w:p>
      <w:pPr>
        <w:pStyle w:val="FirstParagraph"/>
      </w:pPr>
      <w:r>
        <w:t xml:space="preserve">More wind will help reduce average evening prices, but only lots of batteries, or a lot more gas can manage the volatility. I exclude demand management, vehicle to the grid might eventually change things but a meaningful impact is a minimum 3 and probably 5 years away. There needs to be enough batteries such that there is an excess of supply at the time of these price spikes and so they bid the price down a bit. Despite the GWs of batteries under construction, once more coal closes there may be still be the potential for price spikes in the evenings for some years yet.</w:t>
      </w:r>
    </w:p>
    <w:p>
      <w:pPr>
        <w:pStyle w:val="BodyText"/>
      </w:pPr>
      <w:r>
        <w:t xml:space="preserve">For the roughly two GW of wind ramping up NEM review data shows Golden Plains has now hit maximum output of 160 MW and Clark Creek has hit 60 MW.</w:t>
      </w:r>
    </w:p>
    <w:tbl>
      <w:tblPr>
        <w:tblStyle w:val="Table"/>
        <w:tblW w:type="pct" w:w="5000"/>
        <w:tblLayout w:type="fixed"/>
        <w:tblLook w:firstRow="0" w:lastRow="0" w:firstColumn="0" w:lastColumn="0" w:noHBand="0" w:noVBand="0" w:val="0000"/>
      </w:tblPr>
      <w:tblGrid>
        <w:gridCol w:w="7920"/>
      </w:tblGrid>
      <w:tr>
        <w:tc>
          <w:tcPr/>
          <w:bookmarkStart w:id="57" w:name="fig-"/>
          <w:p>
            <w:pPr>
              <w:pStyle w:val="Compact"/>
              <w:jc w:val="center"/>
            </w:pPr>
            <w:r>
              <w:drawing>
                <wp:inline>
                  <wp:extent cx="4533900" cy="3249385"/>
                  <wp:effectExtent b="0" l="0" r="0" t="0"/>
                  <wp:docPr descr="" title="" id="55" name="Picture"/>
                  <a:graphic>
                    <a:graphicData uri="http://schemas.openxmlformats.org/drawingml/2006/picture">
                      <pic:pic>
                        <pic:nvPicPr>
                          <pic:cNvPr descr="../media/image-20250203120643314.png" id="56" name="Picture"/>
                          <pic:cNvPicPr>
                            <a:picLocks noChangeArrowheads="1" noChangeAspect="1"/>
                          </pic:cNvPicPr>
                        </pic:nvPicPr>
                        <pic:blipFill>
                          <a:blip r:embed="rId54"/>
                          <a:stretch>
                            <a:fillRect/>
                          </a:stretch>
                        </pic:blipFill>
                        <pic:spPr bwMode="auto">
                          <a:xfrm>
                            <a:off x="0" y="0"/>
                            <a:ext cx="4533900" cy="3249385"/>
                          </a:xfrm>
                          <a:prstGeom prst="rect">
                            <a:avLst/>
                          </a:prstGeom>
                          <a:noFill/>
                          <a:ln w="9525">
                            <a:noFill/>
                            <a:headEnd/>
                            <a:tailEnd/>
                          </a:ln>
                        </pic:spPr>
                      </pic:pic>
                    </a:graphicData>
                  </a:graphic>
                </wp:inline>
              </w:drawing>
            </w:r>
          </w:p>
          <w:p>
            <w:pPr>
              <w:jc w:val="center"/>
            </w:pPr>
            <w:pPr>
              <w:jc w:val="start"/>
              <w:spacing w:before="200"/>
              <w:pStyle w:val="ImageCaption"/>
            </w:pPr>
            <w:r>
              <w:t xml:space="preserve">Figure 9: 2 GW of Wind ramps up. Source:NEM Review</w:t>
            </w:r>
          </w:p>
          <w:bookmarkEnd w:id="57"/>
        </w:tc>
      </w:tr>
    </w:tbl>
    <w:bookmarkEnd w:id="58"/>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W w:type="pct" w:w="5000"/>
      <w:tblInd w:type="dxa" w:w="0"/>
      <w:tblCellMar>
        <w:top w:type="dxa" w:w="0"/>
        <w:left w:type="dxa" w:w="72"/>
        <w:bottom w:type="dxa" w:w="0"/>
        <w:right w:type="dxa" w:w="72"/>
      </w:tblCellMar>
    </w:tblPr>
    <w:rPr>
      <w:rFonts w:ascii="Arial Narrow" w:hAnsi="Arial Narrow"/>
      <w:sz w:val="18"/>
      <w:szCs w:val="18"/>
    </w:r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4" Target="media/rId24.png" /><Relationship Type="http://schemas.openxmlformats.org/officeDocument/2006/relationships/image" Id="rId20" Target="media/rId20.png" /><Relationship Type="http://schemas.openxmlformats.org/officeDocument/2006/relationships/image" Id="rId28" Target="media/rId28.png" /><Relationship Type="http://schemas.openxmlformats.org/officeDocument/2006/relationships/image" Id="rId33" Target="media/rId33.png" /><Relationship Type="http://schemas.openxmlformats.org/officeDocument/2006/relationships/image" Id="rId37" Target="media/rId37.png" /><Relationship Type="http://schemas.openxmlformats.org/officeDocument/2006/relationships/image" Id="rId45" Target="media/rId45.png" /><Relationship Type="http://schemas.openxmlformats.org/officeDocument/2006/relationships/image" Id="rId41" Target="media/rId41.png" /><Relationship Type="http://schemas.openxmlformats.org/officeDocument/2006/relationships/image" Id="rId49" Target="media/rId49.png" /><Relationship Type="http://schemas.openxmlformats.org/officeDocument/2006/relationships/image" Id="rId54" Target="media/rId54.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Know your NEM</dc:title>
  <dc:creator>David Leitch</dc:creator>
  <cp:keywords/>
  <dcterms:created xsi:type="dcterms:W3CDTF">2026-04-10T01:35:48Z</dcterms:created>
  <dcterms:modified xsi:type="dcterms:W3CDTF">2026-04-10T01:35:48Z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
  </property>
  <property fmtid="{D5CDD505-2E9C-101B-9397-08002B2CF9AE}" pid="5" name="by-author">
    <vt:lpwstr/>
  </property>
  <property fmtid="{D5CDD505-2E9C-101B-9397-08002B2CF9AE}" pid="6" name="categories">
    <vt:lpwstr/>
  </property>
  <property fmtid="{D5CDD505-2E9C-101B-9397-08002B2CF9AE}" pid="7" name="csl">
    <vt:lpwstr>../apa.csl</vt:lpwstr>
  </property>
  <property fmtid="{D5CDD505-2E9C-101B-9397-08002B2CF9AE}" pid="8" name="date">
    <vt:lpwstr>2025-02-04</vt:lpwstr>
  </property>
  <property fmtid="{D5CDD505-2E9C-101B-9397-08002B2CF9AE}" pid="9" name="draft">
    <vt:lpwstr>False</vt:lpwstr>
  </property>
  <property fmtid="{D5CDD505-2E9C-101B-9397-08002B2CF9AE}" pid="10" name="header-includes">
    <vt:lpwstr/>
  </property>
  <property fmtid="{D5CDD505-2E9C-101B-9397-08002B2CF9AE}" pid="11" name="image">
    <vt:lpwstr>../media/image-20250203115449364.png</vt:lpwstr>
  </property>
  <property fmtid="{D5CDD505-2E9C-101B-9397-08002B2CF9AE}" pid="12" name="include-after">
    <vt:lpwstr/>
  </property>
  <property fmtid="{D5CDD505-2E9C-101B-9397-08002B2CF9AE}" pid="13" name="include-before">
    <vt:lpwstr/>
  </property>
  <property fmtid="{D5CDD505-2E9C-101B-9397-08002B2CF9AE}" pid="14" name="labels">
    <vt:lpwstr/>
  </property>
  <property fmtid="{D5CDD505-2E9C-101B-9397-08002B2CF9AE}" pid="15" name="lightbox">
    <vt:lpwstr>True</vt:lpwstr>
  </property>
  <property fmtid="{D5CDD505-2E9C-101B-9397-08002B2CF9AE}" pid="16" name="tbl-cap-location">
    <vt:lpwstr>bottom</vt:lpwstr>
  </property>
  <property fmtid="{D5CDD505-2E9C-101B-9397-08002B2CF9AE}" pid="17" name="title-block-banner">
    <vt:lpwstr>True</vt:lpwstr>
  </property>
  <property fmtid="{D5CDD505-2E9C-101B-9397-08002B2CF9AE}" pid="18" name="toc-title">
    <vt:lpwstr>Table of contents</vt:lpwstr>
  </property>
</Properties>
</file>