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2.png" ContentType="image/png"/>
  <Override PartName="/word/media/rId26.png" ContentType="image/png"/>
  <Override PartName="/word/media/rId30.png" ContentType="image/png"/>
  <Override PartName="/word/media/rId34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NSW Coal Spot Profits Set to Fall 30%-40% Thanks to Batteries</w:t>
      </w:r>
    </w:p>
    <w:p>
      <w:pPr>
        <w:pStyle w:val="Author"/>
      </w:pPr>
      <w:r>
        <w:t xml:space="preserve">David Leitch</w:t>
      </w:r>
    </w:p>
    <w:p>
      <w:pPr>
        <w:pStyle w:val="Date"/>
      </w:pPr>
      <w:r>
        <w:t xml:space="preserve">2026-02-04</w:t>
      </w:r>
    </w:p>
    <w:bookmarkStart w:id="20" w:name="X6acdbb5d86f334c9e4d7f5e5f0712bfcbe99f04"/>
    <w:p>
      <w:pPr>
        <w:pStyle w:val="Heading1"/>
      </w:pPr>
      <w:r>
        <w:t xml:space="preserve">NSW coal spot profits set to fall 30%-40% thanks to batteries</w:t>
      </w:r>
    </w:p>
    <w:p>
      <w:pPr>
        <w:pStyle w:val="FirstParagraph"/>
      </w:pPr>
      <w:r>
        <w:t xml:space="preserve">As discussed below, the volume impact is bigger than the price impact. There are a number of gross assumptions in the note below but I don’t think they detract from the message. Batteries are going to kill coal generation profits as well as gas. They may do more damage to coal than gas.</w:t>
      </w:r>
    </w:p>
    <w:p>
      <w:pPr>
        <w:pStyle w:val="BodyText"/>
      </w:pPr>
      <w:r>
        <w:t xml:space="preserve">Although I illustrate this with NSW, the impact in QLD will be just as big most likely.</w:t>
      </w:r>
    </w:p>
    <w:bookmarkEnd w:id="20"/>
    <w:bookmarkStart w:id="38" w:name="batteries-take-volumes-not-just-price"/>
    <w:p>
      <w:pPr>
        <w:pStyle w:val="Heading1"/>
      </w:pPr>
      <w:r>
        <w:t xml:space="preserve">Batteries take volumes, not just price</w:t>
      </w:r>
    </w:p>
    <w:p>
      <w:pPr>
        <w:pStyle w:val="FirstParagraph"/>
      </w:pPr>
      <w:r>
        <w:t xml:space="preserve">In the</w:t>
      </w:r>
      <w:r>
        <w:t xml:space="preserve"> </w:t>
      </w:r>
      <w:hyperlink r:id="rId21">
        <w:r>
          <w:rPr>
            <w:rStyle w:val="Hyperlink"/>
          </w:rPr>
          <w:t xml:space="preserve">previous note</w:t>
        </w:r>
      </w:hyperlink>
      <w:r>
        <w:t xml:space="preserve">, I discussed the history and recent coal generation outcomes with a particular focus on NSW. A comment was made—and I paraphrase—that batteries wouldn’t change average prices very much, because they only impact at peak.</w:t>
      </w:r>
    </w:p>
    <w:p>
      <w:pPr>
        <w:pStyle w:val="BodyText"/>
      </w:pPr>
      <w:r>
        <w:t xml:space="preserve">A plot from yesterday’s note illustrates this.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5" w:name="fig-coal-profitability-timeofday"/>
          <w:p>
            <w:pPr>
              <w:pStyle w:val="Compact"/>
              <w:jc w:val="center"/>
            </w:pPr>
            <w:r>
              <w:drawing>
                <wp:inline>
                  <wp:extent cx="5334000" cy="3021140"/>
                  <wp:effectExtent b="0" l="0" r="0" t="0"/>
                  <wp:docPr descr="" title="" id="23" name="Picture"/>
                  <a:graphic>
                    <a:graphicData uri="http://schemas.openxmlformats.org/drawingml/2006/picture">
                      <pic:pic>
                        <pic:nvPicPr>
                          <pic:cNvPr descr="../media/image-20260204161939339.png" id="2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021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Figure 1: Coal profitability by time of day</w:t>
            </w:r>
          </w:p>
          <w:bookmarkEnd w:id="25"/>
        </w:tc>
      </w:tr>
    </w:tbl>
    <w:p>
      <w:pPr>
        <w:pStyle w:val="BodyText"/>
      </w:pPr>
      <w:r>
        <w:t xml:space="preserve">Futures prices are sitting at around $100/MWh and even if that’s a natural contango, it still suggests plenty of price for coal generators.</w:t>
      </w:r>
    </w:p>
    <w:p>
      <w:pPr>
        <w:pStyle w:val="BodyText"/>
      </w:pPr>
      <w:r>
        <w:t xml:space="preserve">We do know that about 3.5 GW of new batteries are coming to NSW or even more.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9" w:name="fig-nsw-battery-pipeline"/>
          <w:p>
            <w:pPr>
              <w:pStyle w:val="Compact"/>
              <w:jc w:val="center"/>
            </w:pPr>
            <w:r>
              <w:drawing>
                <wp:inline>
                  <wp:extent cx="5334000" cy="4631222"/>
                  <wp:effectExtent b="0" l="0" r="0" t="0"/>
                  <wp:docPr descr="" title="" id="27" name="Picture"/>
                  <a:graphic>
                    <a:graphicData uri="http://schemas.openxmlformats.org/drawingml/2006/picture">
                      <pic:pic>
                        <pic:nvPicPr>
                          <pic:cNvPr descr="../media/image-20260204162206451.png" id="2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631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Figure 2: NSW battery pipeline</w:t>
            </w:r>
          </w:p>
          <w:bookmarkEnd w:id="29"/>
        </w:tc>
      </w:tr>
    </w:tbl>
    <w:p>
      <w:pPr>
        <w:pStyle w:val="BodyText"/>
      </w:pPr>
      <w:r>
        <w:t xml:space="preserve">So how will that impact profits? The first step was to think about spot prices. I assumed that this amount of batteries would be enough to see average evening peak spot prices in NSW no higher than $225/MWh but you can make your own number up. This only reduces average price by about $5-7/MWh.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3" w:name="fig-projected-spot-prices"/>
          <w:p>
            <w:pPr>
              <w:pStyle w:val="Compact"/>
              <w:jc w:val="center"/>
            </w:pPr>
            <w:r>
              <w:drawing>
                <wp:inline>
                  <wp:extent cx="5334000" cy="3046892"/>
                  <wp:effectExtent b="0" l="0" r="0" t="0"/>
                  <wp:docPr descr="" title="" id="31" name="Picture"/>
                  <a:graphic>
                    <a:graphicData uri="http://schemas.openxmlformats.org/drawingml/2006/picture">
                      <pic:pic>
                        <pic:nvPicPr>
                          <pic:cNvPr descr="../media/image-20260204162426621.png" id="3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046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Figure 3: Projected spot prices with batteries</w:t>
            </w:r>
          </w:p>
          <w:bookmarkEnd w:id="33"/>
        </w:tc>
      </w:tr>
    </w:tbl>
    <w:p>
      <w:pPr>
        <w:pStyle w:val="BodyText"/>
      </w:pPr>
      <w:r>
        <w:t xml:space="preserve">However, if we assume that coal bears all the volume loss, and it won’t—hydro and gas will lose some as well but let’s put it all on coal, then notional spot profit in $bn can take up to a 40% hit.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7" w:name="fig-coal-profit-impact"/>
          <w:p>
            <w:pPr>
              <w:pStyle w:val="Compact"/>
              <w:jc w:val="center"/>
            </w:pPr>
            <w:r>
              <w:drawing>
                <wp:inline>
                  <wp:extent cx="5334000" cy="3046892"/>
                  <wp:effectExtent b="0" l="0" r="0" t="0"/>
                  <wp:docPr descr="" title="" id="35" name="Picture"/>
                  <a:graphic>
                    <a:graphicData uri="http://schemas.openxmlformats.org/drawingml/2006/picture">
                      <pic:pic>
                        <pic:nvPicPr>
                          <pic:cNvPr descr="../media/image-20260204162601590.png" id="3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046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Figure 4: Coal profit impact from batteries</w:t>
            </w:r>
          </w:p>
          <w:bookmarkEnd w:id="37"/>
        </w:tc>
      </w:tr>
    </w:tbl>
    <w:p>
      <w:pPr>
        <w:pStyle w:val="BodyText"/>
      </w:pPr>
      <w:r>
        <w:t xml:space="preserve">If you also take account of depreciation, fairly high as end of life approaches, accounting profits are not looking so good.</w:t>
      </w:r>
    </w:p>
    <w:p>
      <w:pPr>
        <w:pStyle w:val="BodyText"/>
      </w:pPr>
      <w:r>
        <w:t xml:space="preserve">Of course it won’t work out like this; the idea is just to sketch out the impact of batteries in broad strokes. Although we think about price, it’s the impact on volumes and revenues that matters more.</w:t>
      </w:r>
    </w:p>
    <w:bookmarkEnd w:id="38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W w:type="pct" w:w="5000"/>
      <w:tblInd w:type="dxa" w:w="0"/>
      <w:tblCellMar>
        <w:top w:type="dxa" w:w="0"/>
        <w:left w:type="dxa" w:w="72"/>
        <w:bottom w:type="dxa" w:w="0"/>
        <w:right w:type="dxa" w:w="72"/>
      </w:tblCellMar>
    </w:tblPr>
    <w:rPr>
      <w:rFonts w:ascii="Arial Narrow" w:hAnsi="Arial Narrow"/>
      <w:sz w:val="18"/>
      <w:szCs w:val="18"/>
    </w:r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2" Target="media/rId22.png" /><Relationship Type="http://schemas.openxmlformats.org/officeDocument/2006/relationships/image" Id="rId26" Target="media/rId26.png" /><Relationship Type="http://schemas.openxmlformats.org/officeDocument/2006/relationships/image" Id="rId30" Target="media/rId30.png" /><Relationship Type="http://schemas.openxmlformats.org/officeDocument/2006/relationships/image" Id="rId34" Target="media/rId34.png" /><Relationship Type="http://schemas.openxmlformats.org/officeDocument/2006/relationships/hyperlink" Id="rId21" Target="https://itkservices3.com/posts/coal_gen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1" Target="https://itkservices3.com/posts/coal_gen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NSW Coal Spot Profits Set to Fall 30%-40% Thanks to Batteries</dc:title>
  <dc:creator>David Leitch</dc:creator>
  <cp:keywords/>
  <dcterms:created xsi:type="dcterms:W3CDTF">2026-04-10T01:35:54Z</dcterms:created>
  <dcterms:modified xsi:type="dcterms:W3CDTF">2026-04-10T01:35:54Z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ibliography">
    <vt:lpwstr/>
  </property>
  <property fmtid="{D5CDD505-2E9C-101B-9397-08002B2CF9AE}" pid="5" name="by-author">
    <vt:lpwstr/>
  </property>
  <property fmtid="{D5CDD505-2E9C-101B-9397-08002B2CF9AE}" pid="6" name="categories">
    <vt:lpwstr/>
  </property>
  <property fmtid="{D5CDD505-2E9C-101B-9397-08002B2CF9AE}" pid="7" name="csl">
    <vt:lpwstr>../apa.csl</vt:lpwstr>
  </property>
  <property fmtid="{D5CDD505-2E9C-101B-9397-08002B2CF9AE}" pid="8" name="date">
    <vt:lpwstr>2026-02-04</vt:lpwstr>
  </property>
  <property fmtid="{D5CDD505-2E9C-101B-9397-08002B2CF9AE}" pid="9" name="draft">
    <vt:lpwstr>False</vt:lpwstr>
  </property>
  <property fmtid="{D5CDD505-2E9C-101B-9397-08002B2CF9AE}" pid="10" name="header-includes">
    <vt:lpwstr/>
  </property>
  <property fmtid="{D5CDD505-2E9C-101B-9397-08002B2CF9AE}" pid="11" name="image">
    <vt:lpwstr>../media/image-20260204162601590.png</vt:lpwstr>
  </property>
  <property fmtid="{D5CDD505-2E9C-101B-9397-08002B2CF9AE}" pid="12" name="include-after">
    <vt:lpwstr/>
  </property>
  <property fmtid="{D5CDD505-2E9C-101B-9397-08002B2CF9AE}" pid="13" name="include-before">
    <vt:lpwstr/>
  </property>
  <property fmtid="{D5CDD505-2E9C-101B-9397-08002B2CF9AE}" pid="14" name="labels">
    <vt:lpwstr/>
  </property>
  <property fmtid="{D5CDD505-2E9C-101B-9397-08002B2CF9AE}" pid="15" name="lightbox">
    <vt:lpwstr>True</vt:lpwstr>
  </property>
  <property fmtid="{D5CDD505-2E9C-101B-9397-08002B2CF9AE}" pid="16" name="tbl-cap-location">
    <vt:lpwstr>bottom</vt:lpwstr>
  </property>
  <property fmtid="{D5CDD505-2E9C-101B-9397-08002B2CF9AE}" pid="17" name="title-block-banner">
    <vt:lpwstr>True</vt:lpwstr>
  </property>
  <property fmtid="{D5CDD505-2E9C-101B-9397-08002B2CF9AE}" pid="18" name="toc-title">
    <vt:lpwstr>Table of contents</vt:lpwstr>
  </property>
</Properties>
</file>