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5.png" ContentType="image/png"/>
  <Override PartName="/word/media/rId29.png" ContentType="image/png"/>
  <Override PartName="/word/media/rId38.png" ContentType="image/png"/>
  <Override PartName="/word/media/rId42.png" ContentType="image/png"/>
  <Override PartName="/word/media/rId33.png" ContentType="image/png"/>
  <Override PartName="/word/media/rId47.png" ContentType="image/png"/>
  <Override PartName="/word/media/rId52.png" ContentType="image/png"/>
  <Override PartName="/word/media/rId56.png" ContentType="image/png"/>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Jun 26 Futures jump - what you have to believe</w:t>
      </w:r>
    </w:p>
    <w:p>
      <w:pPr>
        <w:pStyle w:val="Author"/>
      </w:pPr>
      <w:r>
        <w:t xml:space="preserve">David Leitch</w:t>
      </w:r>
    </w:p>
    <w:p>
      <w:pPr>
        <w:pStyle w:val="Date"/>
      </w:pPr>
      <w:r>
        <w:t xml:space="preserve">2026-03-13</w:t>
      </w:r>
    </w:p>
    <w:bookmarkStart w:id="67" w:name="X06273fa5dec47d33afda0467055849a6587196e"/>
    <w:p>
      <w:pPr>
        <w:pStyle w:val="Heading1"/>
      </w:pPr>
      <w:r>
        <w:t xml:space="preserve">Jun 26 Futures jump - what you have to believe</w:t>
      </w:r>
    </w:p>
    <w:p>
      <w:pPr>
        <w:pStyle w:val="FirstParagraph"/>
      </w:pPr>
      <w:r>
        <w:t xml:space="preserve">My conclusion is that a rise in gas prices domestically — as international prices feed through — will lead to an increase in NSW spot electricity prices compared to pre-war expectations. But the extent will likely be minor if NSW coal continues to perform. Last year Mt Piper had a poor autumn.</w:t>
      </w:r>
    </w:p>
    <w:p>
      <w:pPr>
        <w:pStyle w:val="BodyText"/>
      </w:pPr>
      <w:r>
        <w:t xml:space="preserve">There is a bit more wind and solar around, but then demand is also up. Gas prices have so far been quiet even though gas demand is up.</w:t>
      </w:r>
    </w:p>
    <w:p>
      <w:pPr>
        <w:pStyle w:val="BodyText"/>
      </w:pPr>
      <w:r>
        <w:t xml:space="preserve">There are already a meaningful amount of new batteries both utility and behind the meter and there are 2 GW of utility batteries commissioning of which 1 GW is in NSW. Batteries usually commission quite quickly.</w:t>
      </w:r>
    </w:p>
    <w:p>
      <w:pPr>
        <w:pStyle w:val="BodyText"/>
      </w:pPr>
      <w:r>
        <w:t xml:space="preserve">In the end big rises in fossil fuel prices signal their own doom. The impact is to accelerate the move to lower risk, fixed cost renewables. That applies to transport, to electricity and to process heat. The high prices probably won’t last that long but the induced substitution will be permanent.</w:t>
      </w:r>
    </w:p>
    <w:bookmarkStart w:id="37" w:name="X1baa12704b3cec73df3c7ad90ed57e12a8a2ae4"/>
    <w:p>
      <w:pPr>
        <w:pStyle w:val="Heading2"/>
      </w:pPr>
      <w:r>
        <w:t xml:space="preserve">Paralysis by analysis? No sir that’s the homework</w:t>
      </w:r>
    </w:p>
    <w:p>
      <w:pPr>
        <w:pStyle w:val="FirstParagraph"/>
      </w:pPr>
      <w:r>
        <w:t xml:space="preserve">Based on some comments on Wattclarity, LinkedIn and a great article by Angela Macdonald Smith over at the</w:t>
      </w:r>
      <w:r>
        <w:t xml:space="preserve"> </w:t>
      </w:r>
      <w:hyperlink r:id="rId20">
        <w:r>
          <w:rPr>
            <w:rStyle w:val="Hyperlink"/>
          </w:rPr>
          <w:t xml:space="preserve">AFR</w:t>
        </w:r>
      </w:hyperlink>
      <w:r>
        <w:t xml:space="preserve"> </w:t>
      </w:r>
      <w:r>
        <w:t xml:space="preserve">it seemed like a good time to put on the price forecaster hat, invoke the dashboard tools and develop a feel for the variables.</w:t>
      </w:r>
    </w:p>
    <w:tbl>
      <w:tblPr>
        <w:tblStyle w:val="Table"/>
        <w:tblW w:type="pct" w:w="5000"/>
        <w:tblLayout w:type="fixed"/>
        <w:tblLook w:firstRow="0" w:lastRow="0" w:firstColumn="0" w:lastColumn="0" w:noHBand="0" w:noVBand="0" w:val="0000"/>
      </w:tblPr>
      <w:tblGrid>
        <w:gridCol w:w="7920"/>
      </w:tblGrid>
      <w:tr>
        <w:tc>
          <w:tcPr/>
          <w:bookmarkStart w:id="24" w:name="fig-futures-jump"/>
          <w:p>
            <w:pPr>
              <w:pStyle w:val="Compact"/>
              <w:jc w:val="center"/>
            </w:pPr>
            <w:r>
              <w:drawing>
                <wp:inline>
                  <wp:extent cx="5334000" cy="1999760"/>
                  <wp:effectExtent b="0" l="0" r="0" t="0"/>
                  <wp:docPr descr="" title="" id="22" name="Picture"/>
                  <a:graphic>
                    <a:graphicData uri="http://schemas.openxmlformats.org/drawingml/2006/picture">
                      <pic:pic>
                        <pic:nvPicPr>
                          <pic:cNvPr descr="../media/image-20260313083723266.png" id="23" name="Picture"/>
                          <pic:cNvPicPr>
                            <a:picLocks noChangeArrowheads="1" noChangeAspect="1"/>
                          </pic:cNvPicPr>
                        </pic:nvPicPr>
                        <pic:blipFill>
                          <a:blip r:embed="rId21"/>
                          <a:stretch>
                            <a:fillRect/>
                          </a:stretch>
                        </pic:blipFill>
                        <pic:spPr bwMode="auto">
                          <a:xfrm>
                            <a:off x="0" y="0"/>
                            <a:ext cx="5334000" cy="19997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Futures jump</w:t>
            </w:r>
          </w:p>
          <w:bookmarkEnd w:id="24"/>
        </w:tc>
      </w:tr>
    </w:tbl>
    <w:p>
      <w:pPr>
        <w:pStyle w:val="BodyText"/>
      </w:pPr>
      <w:r>
        <w:t xml:space="preserve">The jump since Trump declared war on Iran is most noticeable in NSW and comes against a trend of softening prices.</w:t>
      </w:r>
    </w:p>
    <w:p>
      <w:pPr>
        <w:pStyle w:val="BodyText"/>
      </w:pPr>
      <w:r>
        <w:t xml:space="preserve">Longer term it’s nothing unusual, but it’s the sudden change in direction that catches the eye.</w:t>
      </w:r>
    </w:p>
    <w:p>
      <w:pPr>
        <w:pStyle w:val="BodyText"/>
      </w:pPr>
      <w:r>
        <w:t xml:space="preserve">The following plot shows that price expectations have softened compared to a year ago despite the June spike. The plot also shows that June is generally the quarter where NSW electricity prices are expected to peak.</w:t>
      </w:r>
    </w:p>
    <w:tbl>
      <w:tblPr>
        <w:tblStyle w:val="Table"/>
        <w:tblW w:type="pct" w:w="5000"/>
        <w:tblLayout w:type="fixed"/>
        <w:tblLook w:firstRow="0" w:lastRow="0" w:firstColumn="0" w:lastColumn="0" w:noHBand="0" w:noVBand="0" w:val="0000"/>
      </w:tblPr>
      <w:tblGrid>
        <w:gridCol w:w="7920"/>
      </w:tblGrid>
      <w:tr>
        <w:tc>
          <w:tcPr/>
          <w:bookmarkStart w:id="28" w:name="fig-price-expectations"/>
          <w:p>
            <w:pPr>
              <w:pStyle w:val="Compact"/>
              <w:jc w:val="center"/>
            </w:pPr>
            <w:r>
              <w:drawing>
                <wp:inline>
                  <wp:extent cx="5334000" cy="1999760"/>
                  <wp:effectExtent b="0" l="0" r="0" t="0"/>
                  <wp:docPr descr="" title="" id="26" name="Picture"/>
                  <a:graphic>
                    <a:graphicData uri="http://schemas.openxmlformats.org/drawingml/2006/picture">
                      <pic:pic>
                        <pic:nvPicPr>
                          <pic:cNvPr descr="../media/image-20260313084211091.png" id="27" name="Picture"/>
                          <pic:cNvPicPr>
                            <a:picLocks noChangeArrowheads="1" noChangeAspect="1"/>
                          </pic:cNvPicPr>
                        </pic:nvPicPr>
                        <pic:blipFill>
                          <a:blip r:embed="rId25"/>
                          <a:stretch>
                            <a:fillRect/>
                          </a:stretch>
                        </pic:blipFill>
                        <pic:spPr bwMode="auto">
                          <a:xfrm>
                            <a:off x="0" y="0"/>
                            <a:ext cx="5334000" cy="19997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Price expectations</w:t>
            </w:r>
          </w:p>
          <w:bookmarkEnd w:id="28"/>
        </w:tc>
      </w:tr>
    </w:tbl>
    <w:p>
      <w:pPr>
        <w:pStyle w:val="BodyText"/>
      </w:pPr>
      <w:r>
        <w:t xml:space="preserve">Gas demand is generally much higher in winter than in summer, which is why the June quarter matters.</w:t>
      </w:r>
    </w:p>
    <w:tbl>
      <w:tblPr>
        <w:tblStyle w:val="Table"/>
        <w:tblW w:type="pct" w:w="5000"/>
        <w:tblLayout w:type="fixed"/>
        <w:tblLook w:firstRow="0" w:lastRow="0" w:firstColumn="0" w:lastColumn="0" w:noHBand="0" w:noVBand="0" w:val="0000"/>
      </w:tblPr>
      <w:tblGrid>
        <w:gridCol w:w="7920"/>
      </w:tblGrid>
      <w:tr>
        <w:tc>
          <w:tcPr/>
          <w:bookmarkStart w:id="32" w:name="fig-gas-demand"/>
          <w:p>
            <w:pPr>
              <w:pStyle w:val="Compact"/>
              <w:jc w:val="center"/>
            </w:pPr>
            <w:r>
              <w:drawing>
                <wp:inline>
                  <wp:extent cx="5334000" cy="1894098"/>
                  <wp:effectExtent b="0" l="0" r="0" t="0"/>
                  <wp:docPr descr="" title="" id="30" name="Picture"/>
                  <a:graphic>
                    <a:graphicData uri="http://schemas.openxmlformats.org/drawingml/2006/picture">
                      <pic:pic>
                        <pic:nvPicPr>
                          <pic:cNvPr descr="../media/image-20260313084358381.png" id="31" name="Picture"/>
                          <pic:cNvPicPr>
                            <a:picLocks noChangeArrowheads="1" noChangeAspect="1"/>
                          </pic:cNvPicPr>
                        </pic:nvPicPr>
                        <pic:blipFill>
                          <a:blip r:embed="rId29"/>
                          <a:stretch>
                            <a:fillRect/>
                          </a:stretch>
                        </pic:blipFill>
                        <pic:spPr bwMode="auto">
                          <a:xfrm>
                            <a:off x="0" y="0"/>
                            <a:ext cx="5334000" cy="18940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Gas demand</w:t>
            </w:r>
          </w:p>
          <w:bookmarkEnd w:id="32"/>
        </w:tc>
      </w:tr>
    </w:tbl>
    <w:p>
      <w:pPr>
        <w:pStyle w:val="BodyText"/>
      </w:pPr>
      <w:r>
        <w:t xml:space="preserve">Despite marginally higher demand and the wild take-off of LNG (20% of global supply, that from Qatar goes through Hormuz), spot gas prices have so far really only risen a bit more than you would seasonally expect.</w:t>
      </w:r>
    </w:p>
    <w:tbl>
      <w:tblPr>
        <w:tblStyle w:val="Table"/>
        <w:tblW w:type="pct" w:w="5000"/>
        <w:tblLayout w:type="fixed"/>
        <w:tblLook w:firstRow="0" w:lastRow="0" w:firstColumn="0" w:lastColumn="0" w:noHBand="0" w:noVBand="0" w:val="0000"/>
      </w:tblPr>
      <w:tblGrid>
        <w:gridCol w:w="7920"/>
      </w:tblGrid>
      <w:tr>
        <w:tc>
          <w:tcPr/>
          <w:bookmarkStart w:id="36" w:name="fig-gas-spot-prices"/>
          <w:p>
            <w:pPr>
              <w:pStyle w:val="Compact"/>
              <w:jc w:val="center"/>
            </w:pPr>
            <w:r>
              <w:drawing>
                <wp:inline>
                  <wp:extent cx="5334000" cy="1786537"/>
                  <wp:effectExtent b="0" l="0" r="0" t="0"/>
                  <wp:docPr descr="" title="" id="34" name="Picture"/>
                  <a:graphic>
                    <a:graphicData uri="http://schemas.openxmlformats.org/drawingml/2006/picture">
                      <pic:pic>
                        <pic:nvPicPr>
                          <pic:cNvPr descr="../media/image-20260313091842021.png" id="35" name="Picture"/>
                          <pic:cNvPicPr>
                            <a:picLocks noChangeArrowheads="1" noChangeAspect="1"/>
                          </pic:cNvPicPr>
                        </pic:nvPicPr>
                        <pic:blipFill>
                          <a:blip r:embed="rId33"/>
                          <a:stretch>
                            <a:fillRect/>
                          </a:stretch>
                        </pic:blipFill>
                        <pic:spPr bwMode="auto">
                          <a:xfrm>
                            <a:off x="0" y="0"/>
                            <a:ext cx="5334000" cy="17865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Gas spot prices</w:t>
            </w:r>
          </w:p>
          <w:bookmarkEnd w:id="36"/>
        </w:tc>
      </w:tr>
    </w:tbl>
    <w:bookmarkEnd w:id="37"/>
    <w:bookmarkStart w:id="46" w:name="X00b2654396a2e3fc6a6a4d3da022b4e6bd2cd10"/>
    <w:p>
      <w:pPr>
        <w:pStyle w:val="Heading2"/>
      </w:pPr>
      <w:r>
        <w:t xml:space="preserve">Futures were falling because spot prices were soft</w:t>
      </w:r>
    </w:p>
    <w:p>
      <w:pPr>
        <w:pStyle w:val="FirstParagraph"/>
      </w:pPr>
      <w:r>
        <w:t xml:space="preserve">Spot prices were soft through spring and into the start of autumn. Notice also that the NSW price is more volatile despite having more demand.</w:t>
      </w:r>
    </w:p>
    <w:tbl>
      <w:tblPr>
        <w:tblStyle w:val="Table"/>
        <w:tblW w:type="pct" w:w="5000"/>
        <w:tblLayout w:type="fixed"/>
        <w:tblLook w:firstRow="0" w:lastRow="0" w:firstColumn="0" w:lastColumn="0" w:noHBand="0" w:noVBand="0" w:val="0000"/>
      </w:tblPr>
      <w:tblGrid>
        <w:gridCol w:w="7920"/>
      </w:tblGrid>
      <w:tr>
        <w:tc>
          <w:tcPr/>
          <w:bookmarkStart w:id="41" w:name="fig-spot-prices-soft"/>
          <w:p>
            <w:pPr>
              <w:pStyle w:val="Compact"/>
              <w:jc w:val="center"/>
            </w:pPr>
            <w:r>
              <w:drawing>
                <wp:inline>
                  <wp:extent cx="5334000" cy="1675314"/>
                  <wp:effectExtent b="0" l="0" r="0" t="0"/>
                  <wp:docPr descr="" title="" id="39" name="Picture"/>
                  <a:graphic>
                    <a:graphicData uri="http://schemas.openxmlformats.org/drawingml/2006/picture">
                      <pic:pic>
                        <pic:nvPicPr>
                          <pic:cNvPr descr="../media/image-20260313090724078.png" id="40" name="Picture"/>
                          <pic:cNvPicPr>
                            <a:picLocks noChangeArrowheads="1" noChangeAspect="1"/>
                          </pic:cNvPicPr>
                        </pic:nvPicPr>
                        <pic:blipFill>
                          <a:blip r:embed="rId38"/>
                          <a:stretch>
                            <a:fillRect/>
                          </a:stretch>
                        </pic:blipFill>
                        <pic:spPr bwMode="auto">
                          <a:xfrm>
                            <a:off x="0" y="0"/>
                            <a:ext cx="5334000" cy="16753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Spot prices soft</w:t>
            </w:r>
          </w:p>
          <w:bookmarkEnd w:id="41"/>
        </w:tc>
      </w:tr>
    </w:tbl>
    <w:p>
      <w:pPr>
        <w:pStyle w:val="BodyText"/>
      </w:pPr>
      <w:r>
        <w:t xml:space="preserve">NSW is at more risk of a price spike because it is structurally undersupplied, partly by design of the NEM back in earlier times and partly because NSW transmission South of Sydney is ridiculously constrained and should have been increased a decade ago, as should the NSW-QLD interconnector. NSW’s issues today will be QLD’s in another decade but that’s another story. You can see how prices are higher in virtually every half hour but particularly at the peak.</w:t>
      </w:r>
    </w:p>
    <w:tbl>
      <w:tblPr>
        <w:tblStyle w:val="Table"/>
        <w:tblW w:type="pct" w:w="5000"/>
        <w:tblLayout w:type="fixed"/>
        <w:tblLook w:firstRow="0" w:lastRow="0" w:firstColumn="0" w:lastColumn="0" w:noHBand="0" w:noVBand="0" w:val="0000"/>
      </w:tblPr>
      <w:tblGrid>
        <w:gridCol w:w="7920"/>
      </w:tblGrid>
      <w:tr>
        <w:tc>
          <w:tcPr/>
          <w:bookmarkStart w:id="45" w:name="fig-nsw-halfhour-prices"/>
          <w:p>
            <w:pPr>
              <w:pStyle w:val="Compact"/>
              <w:jc w:val="center"/>
            </w:pPr>
            <w:r>
              <w:drawing>
                <wp:inline>
                  <wp:extent cx="5334000" cy="3388156"/>
                  <wp:effectExtent b="0" l="0" r="0" t="0"/>
                  <wp:docPr descr="" title="" id="43" name="Picture"/>
                  <a:graphic>
                    <a:graphicData uri="http://schemas.openxmlformats.org/drawingml/2006/picture">
                      <pic:pic>
                        <pic:nvPicPr>
                          <pic:cNvPr descr="../media/image-20260313091344710.png" id="44" name="Picture"/>
                          <pic:cNvPicPr>
                            <a:picLocks noChangeArrowheads="1" noChangeAspect="1"/>
                          </pic:cNvPicPr>
                        </pic:nvPicPr>
                        <pic:blipFill>
                          <a:blip r:embed="rId42"/>
                          <a:stretch>
                            <a:fillRect/>
                          </a:stretch>
                        </pic:blipFill>
                        <pic:spPr bwMode="auto">
                          <a:xfrm>
                            <a:off x="0" y="0"/>
                            <a:ext cx="5334000" cy="338815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NSW half-hour prices</w:t>
            </w:r>
          </w:p>
          <w:bookmarkEnd w:id="45"/>
        </w:tc>
      </w:tr>
    </w:tbl>
    <w:bookmarkEnd w:id="46"/>
    <w:bookmarkStart w:id="51" w:name="is-it-different-this-time"/>
    <w:p>
      <w:pPr>
        <w:pStyle w:val="Heading2"/>
      </w:pPr>
      <w:r>
        <w:t xml:space="preserve">Is it different this time?</w:t>
      </w:r>
    </w:p>
    <w:p>
      <w:pPr>
        <w:pStyle w:val="FirstParagraph"/>
      </w:pPr>
      <w:r>
        <w:t xml:space="preserve">Here at ITK we have long, long expected that batteries would reduce the influence of gas on peak prices. It’s not just the batteries themselves although they certainly matter, it’s the willingness to compete that comes when there are more suppliers.</w:t>
      </w:r>
    </w:p>
    <w:p>
      <w:pPr>
        <w:pStyle w:val="BodyText"/>
      </w:pPr>
      <w:r>
        <w:t xml:space="preserve">It’s no secret that thermal energy is a very oligopolistic business in Australia. As hard as it may be to build a utility battery, it’s infinitely easier than building a gas plant and getting the gas supply.</w:t>
      </w:r>
    </w:p>
    <w:p>
      <w:pPr>
        <w:pStyle w:val="BodyText"/>
      </w:pPr>
      <w:r>
        <w:t xml:space="preserve">During Russia’s invasion of Ukraine not only did global gas prices spike but so did coal prices. The coal price spike was partly a result of wet weather at least in Australia.</w:t>
      </w:r>
    </w:p>
    <w:p>
      <w:pPr>
        <w:pStyle w:val="BodyText"/>
      </w:pPr>
      <w:r>
        <w:t xml:space="preserve">However I would contend that things might indeed be a bit different this time. China has increased domestic coal consumption even if the grade has fallen. It’s built amazing quantities of wind and solar which do make a difference to its demand for coal-fuelled electricity.</w:t>
      </w:r>
    </w:p>
    <w:p>
      <w:pPr>
        <w:pStyle w:val="BodyText"/>
      </w:pPr>
      <w:r>
        <w:t xml:space="preserve">Here in Australia there are still floods but they are not as widespread as during the Ukraine crisis. There is no real sense yet of coal prices going through the roof.</w:t>
      </w:r>
    </w:p>
    <w:p>
      <w:pPr>
        <w:pStyle w:val="BodyText"/>
      </w:pPr>
      <w:r>
        <w:t xml:space="preserve">However NSW remains vulnerable because we haven’t built the replacement capacity for Eraring or Vales Point. It’s frustrating to keep talking about the big new wind farms that could do the job. Not one of them has yet got to FID let alone be available to help right now. I am as big a fan of Penny Sharpe as I am of Matt Kean and Chris Bowen but by gosh the team needs to show some visible progress before the lights do go out.</w:t>
      </w:r>
    </w:p>
    <w:p>
      <w:pPr>
        <w:pStyle w:val="BodyText"/>
      </w:pPr>
      <w:r>
        <w:t xml:space="preserve">In any case if we look at the last 30 days in NSW we can see that for whatever reason prices in NSW in the evening peak are massively below last year despite some marginal increase in total supply. I think you have to give some credit to batteries as making a difference to peak prices across the NEM but everyone will have their own view.</w:t>
      </w:r>
    </w:p>
    <w:tbl>
      <w:tblPr>
        <w:tblStyle w:val="Table"/>
        <w:tblW w:type="pct" w:w="5000"/>
        <w:tblLayout w:type="fixed"/>
        <w:tblLook w:firstRow="0" w:lastRow="0" w:firstColumn="0" w:lastColumn="0" w:noHBand="0" w:noVBand="0" w:val="0000"/>
      </w:tblPr>
      <w:tblGrid>
        <w:gridCol w:w="7920"/>
      </w:tblGrid>
      <w:tr>
        <w:tc>
          <w:tcPr/>
          <w:bookmarkStart w:id="50" w:name="fig-nsw-evening-peak"/>
          <w:p>
            <w:pPr>
              <w:pStyle w:val="Compact"/>
              <w:jc w:val="center"/>
            </w:pPr>
            <w:r>
              <w:drawing>
                <wp:inline>
                  <wp:extent cx="5334000" cy="4206067"/>
                  <wp:effectExtent b="0" l="0" r="0" t="0"/>
                  <wp:docPr descr="" title="" id="48" name="Picture"/>
                  <a:graphic>
                    <a:graphicData uri="http://schemas.openxmlformats.org/drawingml/2006/picture">
                      <pic:pic>
                        <pic:nvPicPr>
                          <pic:cNvPr descr="../media/image-20260313103744749.png" id="49" name="Picture"/>
                          <pic:cNvPicPr>
                            <a:picLocks noChangeArrowheads="1" noChangeAspect="1"/>
                          </pic:cNvPicPr>
                        </pic:nvPicPr>
                        <pic:blipFill>
                          <a:blip r:embed="rId47"/>
                          <a:stretch>
                            <a:fillRect/>
                          </a:stretch>
                        </pic:blipFill>
                        <pic:spPr bwMode="auto">
                          <a:xfrm>
                            <a:off x="0" y="0"/>
                            <a:ext cx="5334000" cy="42060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NSW evening peak</w:t>
            </w:r>
          </w:p>
          <w:bookmarkEnd w:id="50"/>
        </w:tc>
      </w:tr>
    </w:tbl>
    <w:p>
      <w:pPr>
        <w:pStyle w:val="BodyText"/>
      </w:pPr>
      <w:r>
        <w:t xml:space="preserve">Equally though, in that evening peak it’s coal providing the bulk of energy — even though gas and hydro (Snowy) have traditionally set the marginal price.</w:t>
      </w:r>
    </w:p>
    <w:bookmarkEnd w:id="51"/>
    <w:bookmarkStart w:id="60" w:name="X8646a62cf1f682498658c9fb60aac2b961fc703"/>
    <w:p>
      <w:pPr>
        <w:pStyle w:val="Heading2"/>
      </w:pPr>
      <w:r>
        <w:t xml:space="preserve">Gas and hydro become bigger drivers in the June quarter</w:t>
      </w:r>
    </w:p>
    <w:p>
      <w:pPr>
        <w:pStyle w:val="FirstParagraph"/>
      </w:pPr>
      <w:r>
        <w:t xml:space="preserve">In the plot below I compare the June quarter peak price supply in NSW with what’s happened in the last 30 days. This is a bit of an apples and oranges comparison.</w:t>
      </w:r>
    </w:p>
    <w:tbl>
      <w:tblPr>
        <w:tblStyle w:val="Table"/>
        <w:tblW w:type="pct" w:w="5000"/>
        <w:tblLayout w:type="fixed"/>
        <w:tblLook w:firstRow="0" w:lastRow="0" w:firstColumn="0" w:lastColumn="0" w:noHBand="0" w:noVBand="0" w:val="0000"/>
      </w:tblPr>
      <w:tblGrid>
        <w:gridCol w:w="7920"/>
      </w:tblGrid>
      <w:tr>
        <w:tc>
          <w:tcPr/>
          <w:bookmarkStart w:id="55" w:name="fig-june-quarter-supply"/>
          <w:p>
            <w:pPr>
              <w:pStyle w:val="Compact"/>
              <w:jc w:val="center"/>
            </w:pPr>
            <w:r>
              <w:drawing>
                <wp:inline>
                  <wp:extent cx="5334000" cy="4125570"/>
                  <wp:effectExtent b="0" l="0" r="0" t="0"/>
                  <wp:docPr descr="" title="" id="53" name="Picture"/>
                  <a:graphic>
                    <a:graphicData uri="http://schemas.openxmlformats.org/drawingml/2006/picture">
                      <pic:pic>
                        <pic:nvPicPr>
                          <pic:cNvPr descr="../media/image-20260313105419149.png" id="54" name="Picture"/>
                          <pic:cNvPicPr>
                            <a:picLocks noChangeArrowheads="1" noChangeAspect="1"/>
                          </pic:cNvPicPr>
                        </pic:nvPicPr>
                        <pic:blipFill>
                          <a:blip r:embed="rId52"/>
                          <a:stretch>
                            <a:fillRect/>
                          </a:stretch>
                        </pic:blipFill>
                        <pic:spPr bwMode="auto">
                          <a:xfrm>
                            <a:off x="0" y="0"/>
                            <a:ext cx="5334000" cy="41255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June quarter supply</w:t>
            </w:r>
          </w:p>
          <w:bookmarkEnd w:id="55"/>
        </w:tc>
      </w:tr>
    </w:tbl>
    <w:p>
      <w:pPr>
        <w:pStyle w:val="BodyText"/>
      </w:pPr>
      <w:r>
        <w:t xml:space="preserve">The most interesting point is that on average coal generation in NSW has been</w:t>
      </w:r>
      <w:r>
        <w:t xml:space="preserve"> </w:t>
      </w:r>
      <w:r>
        <w:rPr>
          <w:i/>
          <w:iCs/>
        </w:rPr>
        <w:t xml:space="preserve">higher</w:t>
      </w:r>
      <w:r>
        <w:t xml:space="preserve"> </w:t>
      </w:r>
      <w:r>
        <w:t xml:space="preserve">in the last 30 days than it was in the previous June quarter. Imports also become more important and there is naturally less solar.</w:t>
      </w:r>
    </w:p>
    <w:p>
      <w:pPr>
        <w:pStyle w:val="BodyText"/>
      </w:pPr>
      <w:r>
        <w:t xml:space="preserve">This once again emphasises that the spot price outcome will very likely depend on how well coal performs. And the truth is:</w:t>
      </w:r>
    </w:p>
    <w:p>
      <w:pPr>
        <w:pStyle w:val="Compact"/>
        <w:numPr>
          <w:ilvl w:val="0"/>
          <w:numId w:val="1001"/>
        </w:numPr>
      </w:pPr>
      <w:r>
        <w:t xml:space="preserve">The coal generation is old, not being maintained, and there is less incentive to invest in long-term maintenance.</w:t>
      </w:r>
    </w:p>
    <w:p>
      <w:pPr>
        <w:pStyle w:val="Compact"/>
        <w:numPr>
          <w:ilvl w:val="0"/>
          <w:numId w:val="1001"/>
        </w:numPr>
      </w:pPr>
      <w:r>
        <w:t xml:space="preserve">There are only four coal generators, and generally speaking if either Bayswater or Eraring lose a unit then the resulting price increase probably outweighs the volume loss. That wouldn’t be true for the 2-unit Mt Piper and Vales Point stations.</w:t>
      </w:r>
    </w:p>
    <w:p>
      <w:pPr>
        <w:pStyle w:val="FirstParagraph"/>
      </w:pPr>
      <w:r>
        <w:t xml:space="preserve">If I look back to the last year’s June quarter Mt Piper, particularly unit 1, and arguably even Bayswater underdelivered. In my view underperformance by Mt Piper is somewhat structural as it just doesn’t have enough access to coal.</w:t>
      </w:r>
    </w:p>
    <w:tbl>
      <w:tblPr>
        <w:tblStyle w:val="Table"/>
        <w:tblW w:type="pct" w:w="5000"/>
        <w:tblLayout w:type="fixed"/>
        <w:tblLook w:firstRow="0" w:lastRow="0" w:firstColumn="0" w:lastColumn="0" w:noHBand="0" w:noVBand="0" w:val="0000"/>
      </w:tblPr>
      <w:tblGrid>
        <w:gridCol w:w="7920"/>
      </w:tblGrid>
      <w:tr>
        <w:tc>
          <w:tcPr/>
          <w:bookmarkStart w:id="59" w:name="fig-coal-performance"/>
          <w:p>
            <w:pPr>
              <w:pStyle w:val="Compact"/>
              <w:jc w:val="center"/>
            </w:pPr>
            <w:r>
              <w:drawing>
                <wp:inline>
                  <wp:extent cx="5334000" cy="3091365"/>
                  <wp:effectExtent b="0" l="0" r="0" t="0"/>
                  <wp:docPr descr="" title="" id="57" name="Picture"/>
                  <a:graphic>
                    <a:graphicData uri="http://schemas.openxmlformats.org/drawingml/2006/picture">
                      <pic:pic>
                        <pic:nvPicPr>
                          <pic:cNvPr descr="../media/image-20260313110856470.png" id="58" name="Picture"/>
                          <pic:cNvPicPr>
                            <a:picLocks noChangeArrowheads="1" noChangeAspect="1"/>
                          </pic:cNvPicPr>
                        </pic:nvPicPr>
                        <pic:blipFill>
                          <a:blip r:embed="rId56"/>
                          <a:stretch>
                            <a:fillRect/>
                          </a:stretch>
                        </pic:blipFill>
                        <pic:spPr bwMode="auto">
                          <a:xfrm>
                            <a:off x="0" y="0"/>
                            <a:ext cx="5334000" cy="309136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Coal performance</w:t>
            </w:r>
          </w:p>
          <w:bookmarkEnd w:id="59"/>
        </w:tc>
      </w:tr>
    </w:tbl>
    <w:bookmarkEnd w:id="60"/>
    <w:bookmarkStart w:id="66" w:name="other-new-supply"/>
    <w:p>
      <w:pPr>
        <w:pStyle w:val="Heading2"/>
      </w:pPr>
      <w:r>
        <w:t xml:space="preserve">Other new supply</w:t>
      </w:r>
    </w:p>
    <w:p>
      <w:pPr>
        <w:pStyle w:val="FirstParagraph"/>
      </w:pPr>
      <w:r>
        <w:t xml:space="preserve">Home batteries can be expected to help. There is no data for measuring the impact other than seeing what happens to spot prices. Neither charging nor discharging of home batteries is measured unless I am missing something, and I often do.</w:t>
      </w:r>
    </w:p>
    <w:p>
      <w:pPr>
        <w:pStyle w:val="BodyText"/>
      </w:pPr>
      <w:r>
        <w:t xml:space="preserve">There is some increase in utility solar and a bit of new wind as projects in Victoria and Queensland continue to ramp up.</w:t>
      </w:r>
    </w:p>
    <w:p>
      <w:pPr>
        <w:pStyle w:val="BodyText"/>
      </w:pPr>
      <w:r>
        <w:t xml:space="preserve">In regards to utility batteries as measured by</w:t>
      </w:r>
      <w:r>
        <w:t xml:space="preserve"> </w:t>
      </w:r>
      <w:hyperlink r:id="rId61">
        <w:r>
          <w:rPr>
            <w:rStyle w:val="Hyperlink"/>
          </w:rPr>
          <w:t xml:space="preserve">Renewmap</w:t>
        </w:r>
      </w:hyperlink>
      <w:r>
        <w:t xml:space="preserve"> </w:t>
      </w:r>
      <w:r>
        <w:t xml:space="preserve">there are 3 GW in commissioning including the Waratah Super BESS of 850 MW. The replacement transformer at Waratah won’t be available until towards the end of the year so won’t help in the June quarter. There are currently around 1 GW of batteries commissioning in NSW, and I expect them to have some impact in the June quarter.</w:t>
      </w:r>
    </w:p>
    <w:tbl>
      <w:tblPr>
        <w:tblStyle w:val="Table"/>
        <w:tblW w:type="pct" w:w="5000"/>
        <w:tblLayout w:type="fixed"/>
        <w:tblLook w:firstRow="0" w:lastRow="0" w:firstColumn="0" w:lastColumn="0" w:noHBand="0" w:noVBand="0" w:val="0000"/>
      </w:tblPr>
      <w:tblGrid>
        <w:gridCol w:w="7920"/>
      </w:tblGrid>
      <w:tr>
        <w:tc>
          <w:tcPr/>
          <w:bookmarkStart w:id="65" w:name="fig-battery-commissioning"/>
          <w:p>
            <w:pPr>
              <w:pStyle w:val="Compact"/>
              <w:jc w:val="center"/>
            </w:pPr>
            <w:r>
              <w:drawing>
                <wp:inline>
                  <wp:extent cx="5334000" cy="4444371"/>
                  <wp:effectExtent b="0" l="0" r="0" t="0"/>
                  <wp:docPr descr="" title="" id="63" name="Picture"/>
                  <a:graphic>
                    <a:graphicData uri="http://schemas.openxmlformats.org/drawingml/2006/picture">
                      <pic:pic>
                        <pic:nvPicPr>
                          <pic:cNvPr descr="../media/image-20260313113118075.png" id="64" name="Picture"/>
                          <pic:cNvPicPr>
                            <a:picLocks noChangeArrowheads="1" noChangeAspect="1"/>
                          </pic:cNvPicPr>
                        </pic:nvPicPr>
                        <pic:blipFill>
                          <a:blip r:embed="rId62"/>
                          <a:stretch>
                            <a:fillRect/>
                          </a:stretch>
                        </pic:blipFill>
                        <pic:spPr bwMode="auto">
                          <a:xfrm>
                            <a:off x="0" y="0"/>
                            <a:ext cx="5334000" cy="44443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Battery commissioning</w:t>
            </w:r>
          </w:p>
          <w:bookmarkEnd w:id="65"/>
        </w:tc>
      </w:tr>
    </w:tbl>
    <w:p>
      <w:pPr>
        <w:pStyle w:val="BodyText"/>
      </w:pPr>
      <w:r>
        <w:t xml:space="preserve">The bottom line: NSW futures have jumped but the fundamentals — steady coal performance, growing battery capacity, and so far modest gas price rises — suggest that price rises will be less than when Russia invaded Ukraine.</w:t>
      </w:r>
    </w:p>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33" Target="media/rId33.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6" Target="media/rId56.png" /><Relationship Type="http://schemas.openxmlformats.org/officeDocument/2006/relationships/image" Id="rId62" Target="media/rId62.png" /><Relationship Type="http://schemas.openxmlformats.org/officeDocument/2006/relationships/hyperlink" Id="rId20" Target="https://www.afr.com/companies/energy/domestic-buyers-spurn-offer-of-cheap-gas-despite-global-price-surge-20260309-p5o8no" TargetMode="External" /><Relationship Type="http://schemas.openxmlformats.org/officeDocument/2006/relationships/hyperlink" Id="rId61" Target="https://www.renewmap.com.au" TargetMode="External" /></Relationships>
</file>

<file path=word/_rels/footnotes.xml.rels><?xml version="1.0" encoding="UTF-8"?><Relationships xmlns="http://schemas.openxmlformats.org/package/2006/relationships"><Relationship Type="http://schemas.openxmlformats.org/officeDocument/2006/relationships/hyperlink" Id="rId20" Target="https://www.afr.com/companies/energy/domestic-buyers-spurn-offer-of-cheap-gas-despite-global-price-surge-20260309-p5o8no" TargetMode="External" /><Relationship Type="http://schemas.openxmlformats.org/officeDocument/2006/relationships/hyperlink" Id="rId61" Target="https://www.renewmap.com.a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 26 Futures jump - what you have to believe</dc:title>
  <dc:creator>David Leitch</dc:creator>
  <cp:keywords/>
  <dcterms:created xsi:type="dcterms:W3CDTF">2026-04-10T01:35:43Z</dcterms:created>
  <dcterms:modified xsi:type="dcterms:W3CDTF">2026-04-10T01:35:43Z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2026-03-13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../media/image-20260313113118075.png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