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6.png" ContentType="image/png"/>
  <Override PartName="/word/media/rId29.png" ContentType="image/png"/>
  <Override PartName="/word/media/rId32.png" ContentType="image/png"/>
  <Override PartName="/word/media/rId35.png" ContentType="image/png"/>
  <Override PartName="/word/media/rId39.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 NEM in Spring</w:t>
      </w:r>
    </w:p>
    <w:p>
      <w:pPr>
        <w:pStyle w:val="Author"/>
      </w:pPr>
      <w:r>
        <w:t xml:space="preserve">David Leitch</w:t>
      </w:r>
    </w:p>
    <w:p>
      <w:pPr>
        <w:pStyle w:val="Date"/>
      </w:pPr>
      <w:r>
        <w:t xml:space="preserve">2024-09-02</w:t>
      </w:r>
    </w:p>
    <w:p>
      <w:pPr>
        <w:pStyle w:val="BlockText"/>
      </w:pPr>
      <w:r>
        <w:t xml:space="preserve">“O, wind, if winter comes, can spring be far behind?”</w:t>
      </w:r>
      <w:r>
        <w:t xml:space="preserve"> </w:t>
      </w:r>
      <w:r>
        <w:t xml:space="preserve">– Percy Bysshe Shelley.</w:t>
      </w:r>
    </w:p>
    <w:bookmarkStart w:id="46" w:name="X12db68ad65c7f1d69ab0c1126c57766079fd04e"/>
    <w:p>
      <w:pPr>
        <w:pStyle w:val="Heading1"/>
      </w:pPr>
      <w:r>
        <w:t xml:space="preserve">Last week spot prices in Victoria and South Australia were negative</w:t>
      </w:r>
    </w:p>
    <w:p>
      <w:pPr>
        <w:pStyle w:val="FirstParagraph"/>
      </w:pPr>
      <w:r>
        <w:t xml:space="preserve">One spring does not make a year, let alone a decade but Spring clearly shows that more low variable cost supply will lower prices. Or as my ex boss might have said.</w:t>
      </w:r>
      <w:r>
        <w:t xml:space="preserve"> </w:t>
      </w:r>
      <w:r>
        <w:t xml:space="preserve">“Thanks for that value add Warren Buffet”</w:t>
      </w:r>
      <w:r>
        <w:t xml:space="preserve">. Nevertheless it does restore confidence after very unusually poor wind output in Winter to see prices falling. Its only the second day of Spring in 2024 and until the next coal generatosrs close (Yallourn) likely to be followed soon after by Eraring and Gladstone, until then new supply will drive down average prices.</w:t>
      </w:r>
    </w:p>
    <w:p>
      <w:pPr>
        <w:pStyle w:val="BodyText"/>
      </w:pPr>
      <w:r>
        <w:t xml:space="preserve">Still this brings new issues about how to manage curtailment, how to integrate behind the meter.</w:t>
      </w:r>
    </w:p>
    <w:p>
      <w:pPr>
        <w:pStyle w:val="BodyText"/>
      </w:pPr>
      <w:r>
        <w:t xml:space="preserve">I also have a question in my mind as to whether the low wind output had a structural element. Was low wind output in Winter caused by warmer oceans in Winter? If so we likely can expect more of the same? I am not the person to answer that question, but its interesting.</w:t>
      </w:r>
    </w:p>
    <w:p>
      <w:pPr>
        <w:pStyle w:val="BodyText"/>
      </w:pPr>
      <w:r>
        <w:t xml:space="preserve">In Spring the output of VRE (wind and solar) energy goes up and demand is lower. Regarding demand it’s too early for much air conditioning and too warm for heating.</w:t>
      </w:r>
    </w:p>
    <w:p>
      <w:pPr>
        <w:pStyle w:val="BodyText"/>
      </w:pPr>
      <w:r>
        <w:t xml:space="preserve">VRE goes up because winds in Spring are strong and solar output goes up seasonally. The burst from wind doesn’t last all that long but the solar output increases strongly right up to Xmas. These patterns of generation should be second nature to anyone that watches production every year for the past 15 years like me. However I show a couple of charts updated on my website every week. These first two show 30 day averages so still showing a little of Winter. The impact of the low wind this Winter is shown particularly in the second chart.</w:t>
      </w:r>
    </w:p>
    <w:p>
      <w:pPr>
        <w:pStyle w:val="CaptionedFigure"/>
      </w:pPr>
      <w:r>
        <w:drawing>
          <wp:inline>
            <wp:extent cx="5334000" cy="2927568"/>
            <wp:effectExtent b="0" l="0" r="0" t="0"/>
            <wp:docPr descr="VRE production. Data source: NEM Review" title="" id="21" name="Picture"/>
            <a:graphic>
              <a:graphicData uri="http://schemas.openxmlformats.org/drawingml/2006/picture">
                <pic:pic>
                  <pic:nvPicPr>
                    <pic:cNvPr descr="../media/image-20240902104013983.png" id="22" name="Picture"/>
                    <pic:cNvPicPr>
                      <a:picLocks noChangeArrowheads="1" noChangeAspect="1"/>
                    </pic:cNvPicPr>
                  </pic:nvPicPr>
                  <pic:blipFill>
                    <a:blip r:embed="rId20"/>
                    <a:stretch>
                      <a:fillRect/>
                    </a:stretch>
                  </pic:blipFill>
                  <pic:spPr bwMode="auto">
                    <a:xfrm>
                      <a:off x="0" y="0"/>
                      <a:ext cx="5334000" cy="2927568"/>
                    </a:xfrm>
                    <a:prstGeom prst="rect">
                      <a:avLst/>
                    </a:prstGeom>
                    <a:noFill/>
                    <a:ln w="9525">
                      <a:noFill/>
                      <a:headEnd/>
                      <a:tailEnd/>
                    </a:ln>
                  </pic:spPr>
                </pic:pic>
              </a:graphicData>
            </a:graphic>
          </wp:inline>
        </w:drawing>
      </w:r>
    </w:p>
    <w:p>
      <w:pPr>
        <w:pStyle w:val="ImageCaption"/>
      </w:pPr>
      <w:r>
        <w:t xml:space="preserve">VRE production. Data source: NEM Review</w:t>
      </w:r>
    </w:p>
    <w:p>
      <w:pPr>
        <w:pStyle w:val="CaptionedFigure"/>
      </w:pPr>
      <w:r>
        <w:drawing>
          <wp:inline>
            <wp:extent cx="5334000" cy="2923152"/>
            <wp:effectExtent b="0" l="0" r="0" t="0"/>
            <wp:docPr descr="VRE by fuel. Data source: Nem Review" title="" id="24" name="Picture"/>
            <a:graphic>
              <a:graphicData uri="http://schemas.openxmlformats.org/drawingml/2006/picture">
                <pic:pic>
                  <pic:nvPicPr>
                    <pic:cNvPr descr="../media/image-20240902104107209.png" id="25" name="Picture"/>
                    <pic:cNvPicPr>
                      <a:picLocks noChangeArrowheads="1" noChangeAspect="1"/>
                    </pic:cNvPicPr>
                  </pic:nvPicPr>
                  <pic:blipFill>
                    <a:blip r:embed="rId23"/>
                    <a:stretch>
                      <a:fillRect/>
                    </a:stretch>
                  </pic:blipFill>
                  <pic:spPr bwMode="auto">
                    <a:xfrm>
                      <a:off x="0" y="0"/>
                      <a:ext cx="5334000" cy="2923152"/>
                    </a:xfrm>
                    <a:prstGeom prst="rect">
                      <a:avLst/>
                    </a:prstGeom>
                    <a:noFill/>
                    <a:ln w="9525">
                      <a:noFill/>
                      <a:headEnd/>
                      <a:tailEnd/>
                    </a:ln>
                  </pic:spPr>
                </pic:pic>
              </a:graphicData>
            </a:graphic>
          </wp:inline>
        </w:drawing>
      </w:r>
    </w:p>
    <w:p>
      <w:pPr>
        <w:pStyle w:val="ImageCaption"/>
      </w:pPr>
      <w:r>
        <w:t xml:space="preserve">VRE by fuel. Data source: Nem Review</w:t>
      </w:r>
    </w:p>
    <w:p>
      <w:pPr>
        <w:pStyle w:val="BodyText"/>
      </w:pPr>
      <w:r>
        <w:t xml:space="preserve">In the past 7 days across the NEM the share of coal generation has fallen to 49% and the share of VRE is up to 44%. Utility solar share is down, almost certainly because of the incredible level of curtailment. Rooftop solar hasn’t been curtailed so its share is up: The VRE share in Victoria is 50% for the week and 42% in NSW. QLD’s share is still not that high. In QLD the first metered generation has been recorded from the 1 GW Macintyre wind farm, and the same from Golden Plains in Victoria. The contribution from those two big wind farms is zero but that some metered generation is showing up shows progress over the past couple of weeks.</w:t>
      </w:r>
    </w:p>
    <w:p>
      <w:pPr>
        <w:pStyle w:val="CaptionedFigure"/>
      </w:pPr>
      <w:r>
        <w:drawing>
          <wp:inline>
            <wp:extent cx="5334000" cy="3025862"/>
            <wp:effectExtent b="0" l="0" r="0" t="0"/>
            <wp:docPr descr="Fuel share of proaction. Datasource:Nemreview" title="" id="27" name="Picture"/>
            <a:graphic>
              <a:graphicData uri="http://schemas.openxmlformats.org/drawingml/2006/picture">
                <pic:pic>
                  <pic:nvPicPr>
                    <pic:cNvPr descr="../media/image-20240902104442628.png" id="28" name="Picture"/>
                    <pic:cNvPicPr>
                      <a:picLocks noChangeArrowheads="1" noChangeAspect="1"/>
                    </pic:cNvPicPr>
                  </pic:nvPicPr>
                  <pic:blipFill>
                    <a:blip r:embed="rId26"/>
                    <a:stretch>
                      <a:fillRect/>
                    </a:stretch>
                  </pic:blipFill>
                  <pic:spPr bwMode="auto">
                    <a:xfrm>
                      <a:off x="0" y="0"/>
                      <a:ext cx="5334000" cy="3025862"/>
                    </a:xfrm>
                    <a:prstGeom prst="rect">
                      <a:avLst/>
                    </a:prstGeom>
                    <a:noFill/>
                    <a:ln w="9525">
                      <a:noFill/>
                      <a:headEnd/>
                      <a:tailEnd/>
                    </a:ln>
                  </pic:spPr>
                </pic:pic>
              </a:graphicData>
            </a:graphic>
          </wp:inline>
        </w:drawing>
      </w:r>
    </w:p>
    <w:p>
      <w:pPr>
        <w:pStyle w:val="ImageCaption"/>
      </w:pPr>
      <w:r>
        <w:t xml:space="preserve">Fuel share of proaction. Datasource:Nemreview</w:t>
      </w:r>
    </w:p>
    <w:p>
      <w:pPr>
        <w:pStyle w:val="BodyText"/>
      </w:pPr>
      <w:r>
        <w:t xml:space="preserve">It’s worth noting again the system can already deliver more than this, it’s just that curtailment is necessary. Why curtail? Two reasons, (1) There isn’t enough storage but (2) there is still a big bunch of must run coal and gas. That’s two obvious reasons there are probably other technical reasons to do with grid stability.</w:t>
      </w:r>
    </w:p>
    <w:bookmarkStart w:id="38" w:name="prices-have-been-driven-down"/>
    <w:p>
      <w:pPr>
        <w:pStyle w:val="Heading2"/>
      </w:pPr>
      <w:r>
        <w:t xml:space="preserve">Prices have been driven down</w:t>
      </w:r>
    </w:p>
    <w:p>
      <w:pPr>
        <w:pStyle w:val="FirstParagraph"/>
      </w:pPr>
      <w:r>
        <w:t xml:space="preserve">Over the past seven days the wind surge has driven average spot prices negative in Victoria and South Australia. That’s despite a slightly sus price surge in South Australia one morning.</w:t>
      </w:r>
    </w:p>
    <w:p>
      <w:pPr>
        <w:pStyle w:val="CaptionedFigure"/>
      </w:pPr>
      <w:r>
        <w:drawing>
          <wp:inline>
            <wp:extent cx="3823854" cy="4578394"/>
            <wp:effectExtent b="0" l="0" r="0" t="0"/>
            <wp:docPr descr="Fuel weighted prices. Datasource:NEM Review" title="" id="30" name="Picture"/>
            <a:graphic>
              <a:graphicData uri="http://schemas.openxmlformats.org/drawingml/2006/picture">
                <pic:pic>
                  <pic:nvPicPr>
                    <pic:cNvPr descr="../media/image-20240902105316029.png" id="31" name="Picture"/>
                    <pic:cNvPicPr>
                      <a:picLocks noChangeArrowheads="1" noChangeAspect="1"/>
                    </pic:cNvPicPr>
                  </pic:nvPicPr>
                  <pic:blipFill>
                    <a:blip r:embed="rId29"/>
                    <a:stretch>
                      <a:fillRect/>
                    </a:stretch>
                  </pic:blipFill>
                  <pic:spPr bwMode="auto">
                    <a:xfrm>
                      <a:off x="0" y="0"/>
                      <a:ext cx="3823854" cy="4578394"/>
                    </a:xfrm>
                    <a:prstGeom prst="rect">
                      <a:avLst/>
                    </a:prstGeom>
                    <a:noFill/>
                    <a:ln w="9525">
                      <a:noFill/>
                      <a:headEnd/>
                      <a:tailEnd/>
                    </a:ln>
                  </pic:spPr>
                </pic:pic>
              </a:graphicData>
            </a:graphic>
          </wp:inline>
        </w:drawing>
      </w:r>
    </w:p>
    <w:p>
      <w:pPr>
        <w:pStyle w:val="ImageCaption"/>
      </w:pPr>
      <w:r>
        <w:t xml:space="preserve">Fuel weighted prices. Datasource:NEM Review</w:t>
      </w:r>
    </w:p>
    <w:p>
      <w:pPr>
        <w:pStyle w:val="CaptionedFigure"/>
      </w:pPr>
      <w:r>
        <w:drawing>
          <wp:inline>
            <wp:extent cx="5334000" cy="3861012"/>
            <wp:effectExtent b="0" l="0" r="0" t="0"/>
            <wp:docPr descr="Fuels weighted prices. Datasource:NemReview" title="" id="33" name="Picture"/>
            <a:graphic>
              <a:graphicData uri="http://schemas.openxmlformats.org/drawingml/2006/picture">
                <pic:pic>
                  <pic:nvPicPr>
                    <pic:cNvPr descr="../media/image-20240902105348721.png" id="34" name="Picture"/>
                    <pic:cNvPicPr>
                      <a:picLocks noChangeArrowheads="1" noChangeAspect="1"/>
                    </pic:cNvPicPr>
                  </pic:nvPicPr>
                  <pic:blipFill>
                    <a:blip r:embed="rId32"/>
                    <a:stretch>
                      <a:fillRect/>
                    </a:stretch>
                  </pic:blipFill>
                  <pic:spPr bwMode="auto">
                    <a:xfrm>
                      <a:off x="0" y="0"/>
                      <a:ext cx="5334000" cy="3861012"/>
                    </a:xfrm>
                    <a:prstGeom prst="rect">
                      <a:avLst/>
                    </a:prstGeom>
                    <a:noFill/>
                    <a:ln w="9525">
                      <a:noFill/>
                      <a:headEnd/>
                      <a:tailEnd/>
                    </a:ln>
                  </pic:spPr>
                </pic:pic>
              </a:graphicData>
            </a:graphic>
          </wp:inline>
        </w:drawing>
      </w:r>
    </w:p>
    <w:p>
      <w:pPr>
        <w:pStyle w:val="ImageCaption"/>
      </w:pPr>
      <w:r>
        <w:t xml:space="preserve">Fuels weighted prices. Datasource:NemReview</w:t>
      </w:r>
    </w:p>
    <w:p>
      <w:pPr>
        <w:pStyle w:val="CaptionedFigure"/>
      </w:pPr>
      <w:r>
        <w:drawing>
          <wp:inline>
            <wp:extent cx="5334000" cy="3057525"/>
            <wp:effectExtent b="0" l="0" r="0" t="0"/>
            <wp:docPr descr="Time of day prices. Datasource:NEMreview" title="" id="36" name="Picture"/>
            <a:graphic>
              <a:graphicData uri="http://schemas.openxmlformats.org/drawingml/2006/picture">
                <pic:pic>
                  <pic:nvPicPr>
                    <pic:cNvPr descr="../media/image-20240902105558466.png" id="37" name="Picture"/>
                    <pic:cNvPicPr>
                      <a:picLocks noChangeArrowheads="1" noChangeAspect="1"/>
                    </pic:cNvPicPr>
                  </pic:nvPicPr>
                  <pic:blipFill>
                    <a:blip r:embed="rId35"/>
                    <a:stretch>
                      <a:fillRect/>
                    </a:stretch>
                  </pic:blipFill>
                  <pic:spPr bwMode="auto">
                    <a:xfrm>
                      <a:off x="0" y="0"/>
                      <a:ext cx="5334000" cy="3057525"/>
                    </a:xfrm>
                    <a:prstGeom prst="rect">
                      <a:avLst/>
                    </a:prstGeom>
                    <a:noFill/>
                    <a:ln w="9525">
                      <a:noFill/>
                      <a:headEnd/>
                      <a:tailEnd/>
                    </a:ln>
                  </pic:spPr>
                </pic:pic>
              </a:graphicData>
            </a:graphic>
          </wp:inline>
        </w:drawing>
      </w:r>
    </w:p>
    <w:p>
      <w:pPr>
        <w:pStyle w:val="ImageCaption"/>
      </w:pPr>
      <w:r>
        <w:t xml:space="preserve">Time of day prices. Datasource:NEMreview</w:t>
      </w:r>
    </w:p>
    <w:bookmarkEnd w:id="38"/>
    <w:bookmarkStart w:id="45" w:name="X6abf6eacc549a1a3090f8dee5dd9244f047fcec"/>
    <w:p>
      <w:pPr>
        <w:pStyle w:val="Heading2"/>
      </w:pPr>
      <w:r>
        <w:t xml:space="preserve">Not using gas or hydro at evening peaks lowers prices</w:t>
      </w:r>
    </w:p>
    <w:p>
      <w:pPr>
        <w:pStyle w:val="FirstParagraph"/>
      </w:pPr>
      <w:r>
        <w:t xml:space="preserve">Using Victoria as an example we can compare the past 7 days</w:t>
      </w:r>
    </w:p>
    <w:p>
      <w:pPr>
        <w:pStyle w:val="CaptionedFigure"/>
      </w:pPr>
      <w:r>
        <w:drawing>
          <wp:inline>
            <wp:extent cx="5334000" cy="2853446"/>
            <wp:effectExtent b="0" l="0" r="0" t="0"/>
            <wp:docPr descr="Victoria mix and price. Datasource:NEMReview" title="" id="40" name="Picture"/>
            <a:graphic>
              <a:graphicData uri="http://schemas.openxmlformats.org/drawingml/2006/picture">
                <pic:pic>
                  <pic:nvPicPr>
                    <pic:cNvPr descr="../media/image-20240902105848879.png" id="41" name="Picture"/>
                    <pic:cNvPicPr>
                      <a:picLocks noChangeArrowheads="1" noChangeAspect="1"/>
                    </pic:cNvPicPr>
                  </pic:nvPicPr>
                  <pic:blipFill>
                    <a:blip r:embed="rId39"/>
                    <a:stretch>
                      <a:fillRect/>
                    </a:stretch>
                  </pic:blipFill>
                  <pic:spPr bwMode="auto">
                    <a:xfrm>
                      <a:off x="0" y="0"/>
                      <a:ext cx="5334000" cy="2853446"/>
                    </a:xfrm>
                    <a:prstGeom prst="rect">
                      <a:avLst/>
                    </a:prstGeom>
                    <a:noFill/>
                    <a:ln w="9525">
                      <a:noFill/>
                      <a:headEnd/>
                      <a:tailEnd/>
                    </a:ln>
                  </pic:spPr>
                </pic:pic>
              </a:graphicData>
            </a:graphic>
          </wp:inline>
        </w:drawing>
      </w:r>
    </w:p>
    <w:p>
      <w:pPr>
        <w:pStyle w:val="ImageCaption"/>
      </w:pPr>
      <w:r>
        <w:t xml:space="preserve">Victoria mix and price. Datasource:NEMReview</w:t>
      </w:r>
    </w:p>
    <w:p>
      <w:pPr>
        <w:pStyle w:val="BodyText"/>
      </w:pPr>
      <w:r>
        <w:t xml:space="preserve">with the past 365 days. For the year as a whole the hydro and gas generation required in evening and morning peaks and the lower level of VRE means prices averaged $78 with a peak hour average price spike of $200/MWh. Batteries increasingly contribute to the price spike when they can.</w:t>
      </w:r>
    </w:p>
    <w:p>
      <w:pPr>
        <w:pStyle w:val="CaptionedFigure"/>
      </w:pPr>
      <w:r>
        <w:drawing>
          <wp:inline>
            <wp:extent cx="5334000" cy="2853446"/>
            <wp:effectExtent b="0" l="0" r="0" t="0"/>
            <wp:docPr descr="Victoria - the year. Datasource:NEMReview" title="" id="43" name="Picture"/>
            <a:graphic>
              <a:graphicData uri="http://schemas.openxmlformats.org/drawingml/2006/picture">
                <pic:pic>
                  <pic:nvPicPr>
                    <pic:cNvPr descr="../media/image-20240902110039294.png" id="44" name="Picture"/>
                    <pic:cNvPicPr>
                      <a:picLocks noChangeArrowheads="1" noChangeAspect="1"/>
                    </pic:cNvPicPr>
                  </pic:nvPicPr>
                  <pic:blipFill>
                    <a:blip r:embed="rId42"/>
                    <a:stretch>
                      <a:fillRect/>
                    </a:stretch>
                  </pic:blipFill>
                  <pic:spPr bwMode="auto">
                    <a:xfrm>
                      <a:off x="0" y="0"/>
                      <a:ext cx="5334000" cy="2853446"/>
                    </a:xfrm>
                    <a:prstGeom prst="rect">
                      <a:avLst/>
                    </a:prstGeom>
                    <a:noFill/>
                    <a:ln w="9525">
                      <a:noFill/>
                      <a:headEnd/>
                      <a:tailEnd/>
                    </a:ln>
                  </pic:spPr>
                </pic:pic>
              </a:graphicData>
            </a:graphic>
          </wp:inline>
        </w:drawing>
      </w:r>
    </w:p>
    <w:p>
      <w:pPr>
        <w:pStyle w:val="ImageCaption"/>
      </w:pPr>
      <w:r>
        <w:t xml:space="preserve">Victoria - the year. Datasource:NEMReview</w:t>
      </w:r>
    </w:p>
    <w:bookmarkEnd w:id="45"/>
    <w:bookmarkEnd w:id="4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9" Target="media/rId39.png" /><Relationship Type="http://schemas.openxmlformats.org/officeDocument/2006/relationships/image" Id="rId42" Target="media/rId4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NEM in Spring</dc:title>
  <dc:creator>David Leitch</dc:creator>
  <cp:keywords/>
  <dcterms:created xsi:type="dcterms:W3CDTF">2026-04-10T01:36:02Z</dcterms:created>
  <dcterms:modified xsi:type="dcterms:W3CDTF">2026-04-10T01:36:02Z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2024-09-02</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../media/image-20240902105348721.png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