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2.png" ContentType="image/png"/>
  <Override PartName="/word/media/rId56.png" ContentType="image/png"/>
  <Override PartName="/word/media/rId59.png" ContentType="image/png"/>
  <Override PartName="/word/media/rId67.png" ContentType="image/png"/>
  <Override PartName="/word/media/rId23.png" ContentType="image/png"/>
  <Override PartName="/word/media/rId26.png" ContentType="image/png"/>
  <Override PartName="/word/media/rId30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Transmission easements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2023-03-24</w:t>
      </w:r>
    </w:p>
    <w:p>
      <w:pPr>
        <w:pStyle w:val="CaptionedFigure"/>
      </w:pPr>
      <w:r>
        <w:drawing>
          <wp:inline>
            <wp:extent cx="5334000" cy="5334000"/>
            <wp:effectExtent b="0" l="0" r="0" t="0"/>
            <wp:docPr descr="Diagram, engineering drawing Description automatically generated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Diagram, engineering drawing Description automatically</w:t>
      </w:r>
      <w:r>
        <w:t xml:space="preserve"> </w:t>
      </w:r>
      <w:r>
        <w:t xml:space="preserve">generated</w:t>
      </w:r>
    </w:p>
    <w:bookmarkStart w:id="29" w:name="X19fc68802ff19eba287a8e7f6c7f8fa8c866404"/>
    <w:p>
      <w:pPr>
        <w:pStyle w:val="Heading1"/>
      </w:pPr>
      <w:r>
        <w:t xml:space="preserve">Transmission, social license and easements</w:t>
      </w:r>
    </w:p>
    <w:p>
      <w:pPr>
        <w:pStyle w:val="FirstParagraph"/>
      </w:pPr>
      <w:r>
        <w:t xml:space="preserve">This note started out as a narrow piece on landholder access value.</w:t>
      </w:r>
      <w:r>
        <w:t xml:space="preserve"> </w:t>
      </w:r>
      <w:r>
        <w:t xml:space="preserve">However its grown to comment on the value of transmission, the relative</w:t>
      </w:r>
      <w:r>
        <w:t xml:space="preserve"> </w:t>
      </w:r>
      <w:r>
        <w:t xml:space="preserve">value of individual projects and the in my opinion, improper use of</w:t>
      </w:r>
      <w:r>
        <w:t xml:space="preserve"> </w:t>
      </w:r>
      <w:r>
        <w:t xml:space="preserve">inherently inaccurate RIT NPV models to drive decisions instead of using</w:t>
      </w:r>
      <w:r>
        <w:t xml:space="preserve"> </w:t>
      </w:r>
      <w:r>
        <w:t xml:space="preserve">them to facilitate decisions and improve understanding.</w:t>
      </w:r>
    </w:p>
    <w:p>
      <w:pPr>
        <w:pStyle w:val="BodyText"/>
      </w:pPr>
      <w:r>
        <w:t xml:space="preserve">The ISP is at its heart more than a transmission planning tool, it is a</w:t>
      </w:r>
      <w:r>
        <w:t xml:space="preserve"> </w:t>
      </w:r>
      <w:r>
        <w:t xml:space="preserve">synthesis of policies adopted by Australian Goverments, Federal (zero</w:t>
      </w:r>
      <w:r>
        <w:t xml:space="preserve"> </w:t>
      </w:r>
      <w:r>
        <w:t xml:space="preserve">added value) and State to show how those policies can be brought</w:t>
      </w:r>
      <w:r>
        <w:t xml:space="preserve"> </w:t>
      </w:r>
      <w:r>
        <w:t xml:space="preserve">together to decarbonise the NEM and hold electricity prices steady. Even</w:t>
      </w:r>
      <w:r>
        <w:t xml:space="preserve"> </w:t>
      </w:r>
      <w:r>
        <w:t xml:space="preserve">so although the ISP recognises the need for social license, it isn’t</w:t>
      </w:r>
      <w:r>
        <w:t xml:space="preserve"> </w:t>
      </w:r>
      <w:r>
        <w:t xml:space="preserve">modelled. Nor does it explicitly model electricity prices and therefore</w:t>
      </w:r>
      <w:r>
        <w:t xml:space="preserve"> </w:t>
      </w:r>
      <w:r>
        <w:t xml:space="preserve">competition impacts that an integrated NEM provides. Nevertheless it</w:t>
      </w:r>
      <w:r>
        <w:t xml:space="preserve"> </w:t>
      </w:r>
      <w:r>
        <w:t xml:space="preserve">rises above being</w:t>
      </w:r>
      <w:r>
        <w:t xml:space="preserve"> </w:t>
      </w:r>
      <w:r>
        <w:t xml:space="preserve">“just an NPV model”</w:t>
      </w:r>
      <w:r>
        <w:t xml:space="preserve"> </w:t>
      </w:r>
      <w:r>
        <w:t xml:space="preserve">because of the vision it presents.</w:t>
      </w:r>
      <w:r>
        <w:t xml:space="preserve"> </w:t>
      </w:r>
      <w:r>
        <w:t xml:space="preserve">And because of the seemingly simply but actually highly democratic</w:t>
      </w:r>
      <w:r>
        <w:t xml:space="preserve"> </w:t>
      </w:r>
      <w:r>
        <w:t xml:space="preserve">“Delphi”</w:t>
      </w:r>
      <w:r>
        <w:t xml:space="preserve"> </w:t>
      </w:r>
      <w:r>
        <w:t xml:space="preserve">process its clear its been able to sell that vision to a</w:t>
      </w:r>
      <w:r>
        <w:t xml:space="preserve"> </w:t>
      </w:r>
      <w:r>
        <w:t xml:space="preserve">majority of stakeholders. The sale of that vision is the</w:t>
      </w:r>
      <w:r>
        <w:t xml:space="preserve"> </w:t>
      </w:r>
      <w:r>
        <w:t xml:space="preserve">“capstone”</w:t>
      </w:r>
      <w:r>
        <w:t xml:space="preserve"> </w:t>
      </w:r>
      <w:r>
        <w:t xml:space="preserve">of</w:t>
      </w:r>
      <w:r>
        <w:t xml:space="preserve"> </w:t>
      </w:r>
      <w:r>
        <w:t xml:space="preserve">the social license required and the consequences.</w:t>
      </w:r>
    </w:p>
    <w:p>
      <w:pPr>
        <w:pStyle w:val="BodyText"/>
      </w:pPr>
      <w:r>
        <w:t xml:space="preserve">If we are going to reconfigure the NEM some transmission will need to be</w:t>
      </w:r>
      <w:r>
        <w:t xml:space="preserve"> </w:t>
      </w:r>
      <w:r>
        <w:t xml:space="preserve">built. Arguments over the merits or demerits of individual transmission</w:t>
      </w:r>
      <w:r>
        <w:t xml:space="preserve"> </w:t>
      </w:r>
      <w:r>
        <w:t xml:space="preserve">projects cannot escape this central point. Some old transmission may</w:t>
      </w:r>
      <w:r>
        <w:t xml:space="preserve"> </w:t>
      </w:r>
      <w:r>
        <w:t xml:space="preserve">lose value. The key evidence today that more transmission between NSW</w:t>
      </w:r>
      <w:r>
        <w:t xml:space="preserve"> </w:t>
      </w:r>
      <w:r>
        <w:t xml:space="preserve">and Victoria is needed is a forecast $40-$50/MWh price difference out</w:t>
      </w:r>
      <w:r>
        <w:t xml:space="preserve"> </w:t>
      </w:r>
      <w:r>
        <w:t xml:space="preserve">to June 2025 at least.</w:t>
      </w:r>
    </w:p>
    <w:p>
      <w:pPr>
        <w:pStyle w:val="CaptionedFigure"/>
      </w:pPr>
      <w:r>
        <w:drawing>
          <wp:inline>
            <wp:extent cx="3568700" cy="2146300"/>
            <wp:effectExtent b="0" l="0" r="0" t="0"/>
            <wp:docPr descr="Chart, line chart Description automatically generated" title="" id="24" name="Picture"/>
            <a:graphic>
              <a:graphicData uri="http://schemas.openxmlformats.org/drawingml/2006/picture">
                <pic:pic>
                  <pic:nvPicPr>
                    <pic:cNvPr descr="media/media/image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line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 Baseload futures. Source: NEM Review</w:t>
      </w:r>
    </w:p>
    <w:p>
      <w:pPr>
        <w:pStyle w:val="BodyText"/>
      </w:pPr>
      <w:r>
        <w:t xml:space="preserve">ITK doesn’t expect that difference to be alleviated until project</w:t>
      </w:r>
      <w:r>
        <w:t xml:space="preserve"> </w:t>
      </w:r>
      <w:r>
        <w:t xml:space="preserve">EnergyConnect [PEC] is completed or until there is more supply from</w:t>
      </w:r>
      <w:r>
        <w:t xml:space="preserve"> </w:t>
      </w:r>
      <w:r>
        <w:t xml:space="preserve">within NSW. As I understand it other than the Waratah battery there is</w:t>
      </w:r>
      <w:r>
        <w:t xml:space="preserve"> </w:t>
      </w:r>
      <w:r>
        <w:t xml:space="preserve">no prospect of alleviating the Vic to NSW bottleneck until VNI West is</w:t>
      </w:r>
      <w:r>
        <w:t xml:space="preserve"> </w:t>
      </w:r>
      <w:r>
        <w:t xml:space="preserve">built around 2030 or just after.</w:t>
      </w:r>
    </w:p>
    <w:p>
      <w:pPr>
        <w:pStyle w:val="BodyText"/>
      </w:pPr>
      <w:r>
        <w:t xml:space="preserve">Indeed as modelled in the draft 2020 ISP, Vic-NSW alleviation is seen as</w:t>
      </w:r>
      <w:r>
        <w:t xml:space="preserve"> </w:t>
      </w:r>
      <w:r>
        <w:t xml:space="preserve">relatively low benefit compared to other actionable projects. From a</w:t>
      </w:r>
      <w:r>
        <w:t xml:space="preserve"> </w:t>
      </w:r>
      <w:r>
        <w:t xml:space="preserve">current price and conditions perspective its tempting to argue that VNI</w:t>
      </w:r>
      <w:r>
        <w:t xml:space="preserve"> </w:t>
      </w:r>
      <w:r>
        <w:t xml:space="preserve">West is actually the most important project, but that is probably a</w:t>
      </w:r>
      <w:r>
        <w:t xml:space="preserve"> </w:t>
      </w:r>
      <w:r>
        <w:t xml:space="preserve">short term view.</w:t>
      </w:r>
    </w:p>
    <w:p>
      <w:pPr>
        <w:pStyle w:val="CaptionedFigure"/>
      </w:pPr>
      <w:r>
        <w:drawing>
          <wp:inline>
            <wp:extent cx="5334000" cy="3205130"/>
            <wp:effectExtent b="0" l="0" r="0" t="0"/>
            <wp:docPr descr="Chart, bar chart Description automatically generated" title="" id="27" name="Picture"/>
            <a:graphic>
              <a:graphicData uri="http://schemas.openxmlformats.org/drawingml/2006/picture">
                <pic:pic>
                  <pic:nvPicPr>
                    <pic:cNvPr descr="media/media/image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5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bar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Actionable ISP projects ranked by net benefit. Source: AEMO</w:t>
      </w:r>
    </w:p>
    <w:bookmarkEnd w:id="29"/>
    <w:bookmarkStart w:id="34" w:name="and-so-to-social-license"/>
    <w:p>
      <w:pPr>
        <w:pStyle w:val="Heading1"/>
      </w:pPr>
      <w:r>
        <w:t xml:space="preserve">And so to social license</w:t>
      </w:r>
    </w:p>
    <w:p>
      <w:pPr>
        <w:pStyle w:val="FirstParagraph"/>
      </w:pPr>
      <w:r>
        <w:t xml:space="preserve">Social license starts at the top, at Government selling the plan but the</w:t>
      </w:r>
      <w:r>
        <w:t xml:space="preserve"> </w:t>
      </w:r>
      <w:r>
        <w:t xml:space="preserve">social costs are paid by the communities and environments that are</w:t>
      </w:r>
      <w:r>
        <w:t xml:space="preserve"> </w:t>
      </w:r>
      <w:r>
        <w:t xml:space="preserve">impacted.</w:t>
      </w:r>
    </w:p>
    <w:p>
      <w:pPr>
        <w:pStyle w:val="BodyText"/>
      </w:pPr>
      <w:r>
        <w:t xml:space="preserve">There is good evidence that even today far too much bargaining power for</w:t>
      </w:r>
      <w:r>
        <w:t xml:space="preserve"> </w:t>
      </w:r>
      <w:r>
        <w:t xml:space="preserve">transmission lies with the transmission provider and not enough with the</w:t>
      </w:r>
      <w:r>
        <w:t xml:space="preserve"> </w:t>
      </w:r>
      <w:r>
        <w:t xml:space="preserve">impacted community as compared to fully negotiated bargains between land</w:t>
      </w:r>
      <w:r>
        <w:t xml:space="preserve"> </w:t>
      </w:r>
      <w:r>
        <w:t xml:space="preserve">owners and wind and solar providers. All consumers benefit from</w:t>
      </w:r>
      <w:r>
        <w:t xml:space="preserve"> </w:t>
      </w:r>
      <w:r>
        <w:t xml:space="preserve">transmission in the form of lower electricity prices, and greater</w:t>
      </w:r>
      <w:r>
        <w:t xml:space="preserve"> </w:t>
      </w:r>
      <w:r>
        <w:t xml:space="preserve">security and it’s the value of the land in its highest value use as</w:t>
      </w:r>
      <w:r>
        <w:t xml:space="preserve"> </w:t>
      </w:r>
      <w:r>
        <w:t xml:space="preserve">enabling transmission that should be compared with the visual and other</w:t>
      </w:r>
      <w:r>
        <w:t xml:space="preserve"> </w:t>
      </w:r>
      <w:r>
        <w:t xml:space="preserve">costs of facilitating transmission to the selling land owner. Equally</w:t>
      </w:r>
      <w:r>
        <w:t xml:space="preserve"> </w:t>
      </w:r>
      <w:r>
        <w:t xml:space="preserve">the reduction of the value of surrounding land also needs to be factored</w:t>
      </w:r>
      <w:r>
        <w:t xml:space="preserve"> </w:t>
      </w:r>
      <w:r>
        <w:t xml:space="preserve">in.</w:t>
      </w:r>
    </w:p>
    <w:p>
      <w:pPr>
        <w:pStyle w:val="BodyText"/>
      </w:pPr>
      <w:r>
        <w:t xml:space="preserve">And in the case of energy there is a strong case that for historic</w:t>
      </w:r>
      <w:r>
        <w:t xml:space="preserve"> </w:t>
      </w:r>
      <w:r>
        <w:t xml:space="preserve">reasons land owners in different projects are treated unequally.</w:t>
      </w:r>
    </w:p>
    <w:p>
      <w:pPr>
        <w:pStyle w:val="BodyText"/>
      </w:pPr>
      <w:r>
        <w:t xml:space="preserve">In ITK’s estimates, the value of</w:t>
      </w:r>
      <w:r>
        <w:t xml:space="preserve"> </w:t>
      </w:r>
      <w:r>
        <w:t xml:space="preserve">“land access”</w:t>
      </w:r>
      <w:r>
        <w:t xml:space="preserve"> </w:t>
      </w:r>
      <w:r>
        <w:t xml:space="preserve">paid to Humelink land</w:t>
      </w:r>
      <w:r>
        <w:t xml:space="preserve"> </w:t>
      </w:r>
      <w:r>
        <w:t xml:space="preserve">owners or ex owners will be about 1/6 of those paid to windfarm land</w:t>
      </w:r>
      <w:r>
        <w:t xml:space="preserve"> </w:t>
      </w:r>
      <w:r>
        <w:t xml:space="preserve">owners.</w:t>
      </w:r>
    </w:p>
    <w:p>
      <w:pPr>
        <w:pStyle w:val="CaptionedFigure"/>
      </w:pPr>
      <w:r>
        <w:drawing>
          <wp:inline>
            <wp:extent cx="4406900" cy="2616200"/>
            <wp:effectExtent b="0" l="0" r="0" t="0"/>
            <wp:docPr descr="Chart, bar chart Description automatically generated" title="" id="31" name="Picture"/>
            <a:graphic>
              <a:graphicData uri="http://schemas.openxmlformats.org/drawingml/2006/picture">
                <pic:pic>
                  <pic:nvPicPr>
                    <pic:cNvPr descr="media/media/image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bar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3 Land use cost. Source: Humelink PACR, ITKe</w:t>
      </w:r>
    </w:p>
    <w:p>
      <w:pPr>
        <w:pStyle w:val="BodyText"/>
      </w:pPr>
      <w:r>
        <w:t xml:space="preserve">For Humelink the current estimated easement costs are 2.75% of the total</w:t>
      </w:r>
      <w:r>
        <w:t xml:space="preserve"> </w:t>
      </w:r>
      <w:r>
        <w:t xml:space="preserve">project cost, but will likely rise when the easements are actually</w:t>
      </w:r>
      <w:r>
        <w:t xml:space="preserve"> </w:t>
      </w:r>
      <w:r>
        <w:t xml:space="preserve">negotiated. My point here is that easement costs are not a major</w:t>
      </w:r>
      <w:r>
        <w:t xml:space="preserve"> </w:t>
      </w:r>
      <w:r>
        <w:t xml:space="preserve">decision driver. Still up to a point social license is, but only to a</w:t>
      </w:r>
      <w:r>
        <w:t xml:space="preserve"> </w:t>
      </w:r>
      <w:r>
        <w:t xml:space="preserve">transmission developer, only up to a point.</w:t>
      </w:r>
    </w:p>
    <w:bookmarkStart w:id="33" w:name="X202ddca4371a1256fa33fe3053c48f55717c6b9"/>
    <w:p>
      <w:pPr>
        <w:pStyle w:val="Heading2"/>
      </w:pPr>
      <w:r>
        <w:t xml:space="preserve">Minera accessl, above ground access and infrastructure land access all operate under separate regimes</w:t>
      </w:r>
    </w:p>
    <w:p>
      <w:pPr>
        <w:pStyle w:val="FirstParagraph"/>
      </w:pPr>
      <w:r>
        <w:t xml:space="preserve">Mineral resources beneath the ground, such as coal and gas are owned by</w:t>
      </w:r>
      <w:r>
        <w:t xml:space="preserve"> </w:t>
      </w:r>
      <w:r>
        <w:t xml:space="preserve">the Crown, and legally land owners cannot stop access to those with</w:t>
      </w:r>
      <w:r>
        <w:t xml:space="preserve"> </w:t>
      </w:r>
      <w:r>
        <w:t xml:space="preserve">mining or minerals exploration licenses. In complete contrast wind and</w:t>
      </w:r>
      <w:r>
        <w:t xml:space="preserve"> </w:t>
      </w:r>
      <w:r>
        <w:t xml:space="preserve">solar resources above the ground belong to the land owner and access is</w:t>
      </w:r>
      <w:r>
        <w:t xml:space="preserve"> </w:t>
      </w:r>
      <w:r>
        <w:t xml:space="preserve">negotiated by parties with equal bargaining power. Finally transmission</w:t>
      </w:r>
      <w:r>
        <w:t xml:space="preserve"> </w:t>
      </w:r>
      <w:r>
        <w:t xml:space="preserve">and distribution of energy and in general social infrastructure access</w:t>
      </w:r>
      <w:r>
        <w:t xml:space="preserve"> </w:t>
      </w:r>
      <w:r>
        <w:t xml:space="preserve">is governed by easements. Easements pay the landowner the value of the</w:t>
      </w:r>
      <w:r>
        <w:t xml:space="preserve"> </w:t>
      </w:r>
      <w:r>
        <w:t xml:space="preserve">land in its current use, but not for the marginal value, generally a lot</w:t>
      </w:r>
      <w:r>
        <w:t xml:space="preserve"> </w:t>
      </w:r>
      <w:r>
        <w:t xml:space="preserve">higher in its alternative use as an electricity or water pipe right of</w:t>
      </w:r>
      <w:r>
        <w:t xml:space="preserve"> </w:t>
      </w:r>
      <w:r>
        <w:t xml:space="preserve">way</w:t>
      </w:r>
    </w:p>
    <w:p>
      <w:pPr>
        <w:pStyle w:val="BodyText"/>
      </w:pPr>
      <w:r>
        <w:t xml:space="preserve">Historically transmission developers have paid little or no attention to</w:t>
      </w:r>
      <w:r>
        <w:t xml:space="preserve"> </w:t>
      </w:r>
      <w:r>
        <w:t xml:space="preserve">social license That’s because historically all transmission developers</w:t>
      </w:r>
      <w:r>
        <w:t xml:space="preserve"> </w:t>
      </w:r>
      <w:r>
        <w:t xml:space="preserve">have been concerned with is getting their project through the RIT test,</w:t>
      </w:r>
      <w:r>
        <w:t xml:space="preserve"> </w:t>
      </w:r>
      <w:r>
        <w:t xml:space="preserve">as silly as that test is, and past the Australian Energy Regulator</w:t>
      </w:r>
      <w:r>
        <w:t xml:space="preserve"> </w:t>
      </w:r>
      <w:r>
        <w:t xml:space="preserve">[AER]. And history shows that’s been difficult enough. Also</w:t>
      </w:r>
      <w:r>
        <w:t xml:space="preserve"> </w:t>
      </w:r>
      <w:r>
        <w:t xml:space="preserve">transmission development routes are enforceable by easement legislation.</w:t>
      </w:r>
      <w:r>
        <w:t xml:space="preserve"> </w:t>
      </w:r>
      <w:r>
        <w:t xml:space="preserve">The transmission owner is not responsible to anyone really for how a</w:t>
      </w:r>
      <w:r>
        <w:t xml:space="preserve"> </w:t>
      </w:r>
      <w:r>
        <w:t xml:space="preserve">project looks, or how it impacts communities. Provided the project</w:t>
      </w:r>
      <w:r>
        <w:t xml:space="preserve"> </w:t>
      </w:r>
      <w:r>
        <w:t xml:space="preserve">complies with relevant environmental legislation that’s it. Transmission</w:t>
      </w:r>
      <w:r>
        <w:t xml:space="preserve"> </w:t>
      </w:r>
      <w:r>
        <w:t xml:space="preserve">operators do understand that paying above valuation may be a good idea,</w:t>
      </w:r>
      <w:r>
        <w:t xml:space="preserve"> </w:t>
      </w:r>
      <w:r>
        <w:t xml:space="preserve">and that has been demonstrated in some depth in negotiations over</w:t>
      </w:r>
      <w:r>
        <w:t xml:space="preserve"> </w:t>
      </w:r>
      <w:r>
        <w:t xml:space="preserve">Project Energyconnect where some landowers get up to double valuation.</w:t>
      </w:r>
      <w:r>
        <w:t xml:space="preserve"> </w:t>
      </w:r>
      <w:r>
        <w:t xml:space="preserve">But even so landowners come from a statutorily severely disadvantaged</w:t>
      </w:r>
      <w:r>
        <w:t xml:space="preserve"> </w:t>
      </w:r>
      <w:r>
        <w:t xml:space="preserve">position. And there is not much fairness, a key concept of social</w:t>
      </w:r>
      <w:r>
        <w:t xml:space="preserve"> </w:t>
      </w:r>
      <w:r>
        <w:t xml:space="preserve">license, when some landowners lawyer up and some do not or cannot.</w:t>
      </w:r>
    </w:p>
    <w:bookmarkEnd w:id="33"/>
    <w:bookmarkEnd w:id="34"/>
    <w:bookmarkStart w:id="48" w:name="X578b157dd1106a913abff6d1eb90ad140f82efa"/>
    <w:p>
      <w:pPr>
        <w:pStyle w:val="Heading1"/>
      </w:pPr>
      <w:r>
        <w:t xml:space="preserve">NSW and Victorian price differences seem entrenched for years</w:t>
      </w:r>
    </w:p>
    <w:p>
      <w:pPr>
        <w:pStyle w:val="FirstParagraph"/>
      </w:pPr>
      <w:r>
        <w:t xml:space="preserve">Futures prices in NSW and QLD continue to rise.</w:t>
      </w:r>
    </w:p>
    <w:p>
      <w:pPr>
        <w:pStyle w:val="CaptionedFigure"/>
      </w:pPr>
      <w:r>
        <w:drawing>
          <wp:inline>
            <wp:extent cx="5334000" cy="3340550"/>
            <wp:effectExtent b="0" l="0" r="0" t="0"/>
            <wp:docPr descr="Chart, line chart Description automatically generated" title="" id="36" name="Picture"/>
            <a:graphic>
              <a:graphicData uri="http://schemas.openxmlformats.org/drawingml/2006/picture">
                <pic:pic>
                  <pic:nvPicPr>
                    <pic:cNvPr descr="media/media/image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0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Chart, line chart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4 Futures. Source: Global Roam</w:t>
      </w:r>
    </w:p>
    <w:p>
      <w:pPr>
        <w:pStyle w:val="BodyText"/>
      </w:pPr>
      <w:r>
        <w:t xml:space="preserve">However it’s the difference between Victoria and NSW that’s of interest</w:t>
      </w:r>
      <w:r>
        <w:t xml:space="preserve"> </w:t>
      </w:r>
      <w:r>
        <w:t xml:space="preserve">here, given that these are the two States that nominally are the most</w:t>
      </w:r>
      <w:r>
        <w:t xml:space="preserve"> </w:t>
      </w:r>
      <w:r>
        <w:t xml:space="preserve">linked by transmission.</w:t>
      </w:r>
    </w:p>
    <w:tbl>
      <w:tblPr>
        <w:tblStyle w:val="Table"/>
        <w:tblW w:type="pct" w:w="4865"/>
        <w:tblLayout w:type="fixed"/>
        <w:tblLook w:firstRow="1" w:lastRow="0" w:firstColumn="0" w:lastColumn="0" w:noHBand="0" w:noVBand="0" w:val="0020"/>
      </w:tblPr>
      <w:tblGrid>
        <w:gridCol w:w="1926"/>
        <w:gridCol w:w="1926"/>
        <w:gridCol w:w="1926"/>
        <w:gridCol w:w="1926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Futures prices,</w:t>
            </w:r>
            <w:r>
              <w:t xml:space="preserve"> </w:t>
            </w:r>
            <w:r>
              <w:t xml:space="preserve">the great divide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$/MWh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FY23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FY24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FY25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NSW</w:t>
            </w:r>
          </w:p>
        </w:tc>
        <w:tc>
          <w:tcPr/>
          <w:p>
            <w:pPr>
              <w:pStyle w:val="Compact"/>
            </w:pPr>
            <w:r>
              <w:t xml:space="preserve">108</w:t>
            </w:r>
          </w:p>
        </w:tc>
        <w:tc>
          <w:tcPr/>
          <w:p>
            <w:pPr>
              <w:pStyle w:val="Compact"/>
            </w:pPr>
            <w:r>
              <w:t xml:space="preserve">101</w:t>
            </w:r>
          </w:p>
        </w:tc>
        <w:tc>
          <w:tcPr/>
          <w:p>
            <w:pPr>
              <w:pStyle w:val="Compact"/>
            </w:pPr>
            <w:r>
              <w:t xml:space="preserve">91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VIC</w:t>
            </w:r>
          </w:p>
        </w:tc>
        <w:tc>
          <w:tcPr/>
          <w:p>
            <w:pPr>
              <w:pStyle w:val="Compact"/>
            </w:pPr>
            <w:r>
              <w:t xml:space="preserve">60</w:t>
            </w:r>
          </w:p>
        </w:tc>
        <w:tc>
          <w:tcPr/>
          <w:p>
            <w:pPr>
              <w:pStyle w:val="Compact"/>
            </w:pPr>
            <w:r>
              <w:t xml:space="preserve">52</w:t>
            </w:r>
          </w:p>
        </w:tc>
        <w:tc>
          <w:tcPr/>
          <w:p>
            <w:pPr>
              <w:pStyle w:val="Compact"/>
            </w:pPr>
            <w:r>
              <w:t xml:space="preserve">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Difference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49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49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40</w:t>
            </w:r>
          </w:p>
        </w:tc>
      </w:tr>
    </w:tbl>
    <w:p>
      <w:pPr>
        <w:pStyle w:val="BodyText"/>
      </w:pPr>
      <w:r>
        <w:t xml:space="preserve">Figure 5 Source: Global Roam</w:t>
      </w:r>
    </w:p>
    <w:p>
      <w:pPr>
        <w:pStyle w:val="BodyText"/>
      </w:pPr>
      <w:r>
        <w:t xml:space="preserve">During calendar 2021 average net Vic to NSW flow was 385 MW and didn’t</w:t>
      </w:r>
      <w:r>
        <w:t xml:space="preserve"> </w:t>
      </w:r>
      <w:r>
        <w:t xml:space="preserve">rise above 500 MW even when the peak evening price differential averaged</w:t>
      </w:r>
      <w:r>
        <w:t xml:space="preserve"> </w:t>
      </w:r>
      <w:r>
        <w:t xml:space="preserve">over $120/MWh.</w:t>
      </w:r>
    </w:p>
    <w:p>
      <w:pPr>
        <w:pStyle w:val="BodyText"/>
      </w:pPr>
      <w:r>
        <w:t xml:space="preserve">If NSW pool price in 2023 was the same as in Victoria the NSW pool</w:t>
      </w:r>
      <w:r>
        <w:t xml:space="preserve"> </w:t>
      </w:r>
      <w:r>
        <w:t xml:space="preserve">revenue would be $4 bn lower, or over 3 years that’s $12 bn. And even</w:t>
      </w:r>
      <w:r>
        <w:t xml:space="preserve"> </w:t>
      </w:r>
      <w:r>
        <w:t xml:space="preserve">a little more flow might lower prices in NSW.</w:t>
      </w:r>
    </w:p>
    <w:tbl>
      <w:tblPr>
        <w:tblStyle w:val="Table"/>
        <w:tblW w:type="pct" w:w="4892"/>
        <w:tblLayout w:type="fixed"/>
        <w:tblLook w:firstRow="1" w:lastRow="0" w:firstColumn="0" w:lastColumn="0" w:noHBand="0" w:noVBand="0" w:val="0020"/>
      </w:tblPr>
      <w:tblGrid>
        <w:gridCol w:w="2043"/>
        <w:gridCol w:w="1277"/>
        <w:gridCol w:w="1277"/>
        <w:gridCol w:w="1021"/>
        <w:gridCol w:w="1618"/>
        <w:gridCol w:w="255"/>
        <w:gridCol w:w="25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$10 bn of revenue</w:t>
            </w:r>
            <w:r>
              <w:t xml:space="preserve"> </w:t>
            </w:r>
            <w:r>
              <w:t xml:space="preserve">unfairly split in FY23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Price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Demand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Pool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revenue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$/MWh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TWh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$m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NSW</w:t>
            </w:r>
          </w:p>
        </w:tc>
        <w:tc>
          <w:tcPr/>
          <w:p>
            <w:pPr>
              <w:pStyle w:val="Compact"/>
            </w:pPr>
            <w:r>
              <w:t xml:space="preserve">108</w:t>
            </w:r>
          </w:p>
        </w:tc>
        <w:tc>
          <w:tcPr/>
          <w:p>
            <w:pPr>
              <w:pStyle w:val="Compact"/>
            </w:pPr>
            <w:r>
              <w:t xml:space="preserve">66</w:t>
            </w:r>
          </w:p>
        </w:tc>
        <w:tc>
          <w:tcPr/>
          <w:p>
            <w:pPr>
              <w:pStyle w:val="Compact"/>
            </w:pPr>
            <w:r>
              <w:t xml:space="preserve">7149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Vic</w:t>
            </w:r>
          </w:p>
        </w:tc>
        <w:tc>
          <w:tcPr/>
          <w:p>
            <w:pPr>
              <w:pStyle w:val="Compact"/>
            </w:pPr>
            <w:r>
              <w:t xml:space="preserve">60</w:t>
            </w:r>
          </w:p>
        </w:tc>
        <w:tc>
          <w:tcPr/>
          <w:p>
            <w:pPr>
              <w:pStyle w:val="Compact"/>
            </w:pPr>
            <w:r>
              <w:t xml:space="preserve">42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2503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6 Pool revenue FY23. Source: Nem Review</w:t>
      </w:r>
    </w:p>
    <w:p>
      <w:pPr>
        <w:pStyle w:val="BodyText"/>
      </w:pPr>
      <w:r>
        <w:t xml:space="preserve">AEMO’s</w:t>
      </w:r>
      <w:r>
        <w:t xml:space="preserve"> </w:t>
      </w:r>
      <w:hyperlink r:id="rId38">
        <w:r>
          <w:rPr>
            <w:rStyle w:val="Hyperlink"/>
          </w:rPr>
          <w:t xml:space="preserve">Transmission cost report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2021</w:t>
        </w:r>
      </w:hyperlink>
      <w:r>
        <w:t xml:space="preserve"> </w:t>
      </w:r>
      <w:r>
        <w:t xml:space="preserve">puts the blame squarely in Victoria’s side of things where transfer</w:t>
      </w:r>
      <w:r>
        <w:t xml:space="preserve"> </w:t>
      </w:r>
      <w:r>
        <w:t xml:space="preserve">capacity from Victoria to Southern NSW is limited to 870 MW at peak at</w:t>
      </w:r>
      <w:r>
        <w:t xml:space="preserve"> </w:t>
      </w:r>
      <w:r>
        <w:t xml:space="preserve">best. The problem with this is, unless I’ve missed something, its not</w:t>
      </w:r>
      <w:r>
        <w:t xml:space="preserve"> </w:t>
      </w:r>
      <w:r>
        <w:t xml:space="preserve">due to be fixed until VNI West is built, if its built. NSW gets no</w:t>
      </w:r>
      <w:r>
        <w:t xml:space="preserve"> </w:t>
      </w:r>
      <w:r>
        <w:t xml:space="preserve">relief until transmission from South Australia arrives or more local</w:t>
      </w:r>
      <w:r>
        <w:t xml:space="preserve"> </w:t>
      </w:r>
      <w:r>
        <w:t xml:space="preserve">supply is commissioned. Transmission from South Australi will run into a</w:t>
      </w:r>
      <w:r>
        <w:t xml:space="preserve"> </w:t>
      </w:r>
      <w:r>
        <w:t xml:space="preserve">bottleneck at Wagga which is where Humelink comes in.</w:t>
      </w:r>
    </w:p>
    <w:tbl>
      <w:tblPr>
        <w:tblStyle w:val="Table"/>
        <w:tblW w:type="pct" w:w="4861"/>
        <w:tblLayout w:type="fixed"/>
        <w:tblLook w:firstRow="1" w:lastRow="0" w:firstColumn="0" w:lastColumn="0" w:noHBand="0" w:noVBand="0" w:val="0020"/>
      </w:tblPr>
      <w:tblGrid>
        <w:gridCol w:w="1540"/>
        <w:gridCol w:w="1430"/>
        <w:gridCol w:w="1540"/>
        <w:gridCol w:w="319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Victoria</w:t>
            </w:r>
            <w:r>
              <w:t xml:space="preserve"> </w:t>
            </w:r>
            <w:r>
              <w:t xml:space="preserve">and NSW</w:t>
            </w:r>
            <w:r>
              <w:t xml:space="preserve"> </w:t>
            </w:r>
            <w:r>
              <w:t xml:space="preserve">existing</w:t>
            </w:r>
            <w:r>
              <w:t xml:space="preserve"> </w:t>
            </w:r>
            <w:r>
              <w:t xml:space="preserve">limits and</w:t>
            </w:r>
            <w:r>
              <w:t xml:space="preserve"> </w:t>
            </w:r>
            <w:r>
              <w:t xml:space="preserve">a</w:t>
            </w:r>
            <w:r>
              <w:t xml:space="preserve"> </w:t>
            </w:r>
            <w:r>
              <w:t xml:space="preserve">ugmentation</w:t>
            </w:r>
            <w:r>
              <w:t xml:space="preserve"> </w:t>
            </w:r>
            <w:r>
              <w:t xml:space="preserve">options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Zone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Existing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limit MW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Aug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mentation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Map</w:t>
            </w:r>
          </w:p>
        </w:tc>
      </w:tr>
      <w:tr>
        <w:tc>
          <w:tcPr/>
          <w:p>
            <w:pPr>
              <w:pStyle w:val="Compact"/>
            </w:pPr>
            <w:r>
              <w:t xml:space="preserve">Central NSW</w:t>
            </w:r>
            <w:r>
              <w:t xml:space="preserve"> </w:t>
            </w:r>
            <w:r>
              <w:t xml:space="preserve">to Sydney,</w:t>
            </w:r>
            <w:r>
              <w:t xml:space="preserve"> </w:t>
            </w:r>
            <w:r>
              <w:t xml:space="preserve">Newcastle</w:t>
            </w:r>
            <w:r>
              <w:t xml:space="preserve"> </w:t>
            </w:r>
            <w:r>
              <w:t xml:space="preserve">Wollongong</w:t>
            </w:r>
          </w:p>
        </w:tc>
        <w:tc>
          <w:tcPr/>
          <w:p>
            <w:pPr>
              <w:pStyle w:val="Compact"/>
            </w:pPr>
            <w:r>
              <w:t xml:space="preserve">6125</w:t>
            </w:r>
          </w:p>
        </w:tc>
        <w:tc>
          <w:tcPr/>
          <w:p>
            <w:pPr>
              <w:pStyle w:val="Compact"/>
            </w:pPr>
            <w:r>
              <w:t xml:space="preserve">Northern</w:t>
            </w:r>
            <w:r>
              <w:t xml:space="preserve"> </w:t>
            </w:r>
            <w:r>
              <w:t xml:space="preserve">500 kv loop</w:t>
            </w:r>
            <w:r>
              <w:t xml:space="preserve"> </w:t>
            </w:r>
            <w:r>
              <w:t xml:space="preserve">cost $1 bn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3798276" cy="3120469"/>
                  <wp:effectExtent b="0" l="0" r="0" t="0"/>
                  <wp:docPr descr="Map Description automatically generated" title="" id="40" name="Picture"/>
                  <a:graphic>
                    <a:graphicData uri="http://schemas.openxmlformats.org/drawingml/2006/picture">
                      <pic:pic>
                        <pic:nvPicPr>
                          <pic:cNvPr descr="media/media/image6.png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276" cy="312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{wi</w:t>
            </w:r>
            <w:r>
              <w:t xml:space="preserve"> </w:t>
            </w:r>
            <w:r>
              <w:t xml:space="preserve">dth=</w:t>
            </w:r>
            <w:r>
              <w:t xml:space="preserve">“1.2013188976377953in”</w:t>
            </w:r>
            <w:r>
              <w:t xml:space="preserve"> </w:t>
            </w:r>
            <w:r>
              <w:t xml:space="preserve">heig</w:t>
            </w:r>
            <w:r>
              <w:t xml:space="preserve"> </w:t>
            </w:r>
            <w:r>
              <w:t xml:space="preserve">ht=</w:t>
            </w:r>
            <w:r>
              <w:t xml:space="preserve">“0.9869422572178478in”</w:t>
            </w:r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Southern to</w:t>
            </w:r>
            <w:r>
              <w:t xml:space="preserve"> </w:t>
            </w:r>
            <w:r>
              <w:t xml:space="preserve">Central NSW</w:t>
            </w:r>
          </w:p>
        </w:tc>
        <w:tc>
          <w:tcPr/>
          <w:p>
            <w:pPr>
              <w:pStyle w:val="Compact"/>
            </w:pPr>
            <w:r>
              <w:t xml:space="preserve">2700</w:t>
            </w:r>
          </w:p>
        </w:tc>
        <w:tc>
          <w:tcPr/>
          <w:p>
            <w:pPr>
              <w:pStyle w:val="BodyText"/>
            </w:pPr>
            <w:r>
              <w:t xml:space="preserve">Humelink</w:t>
            </w:r>
            <w:r>
              <w:t xml:space="preserve"> </w:t>
            </w:r>
            <w:r>
              <w:t xml:space="preserve">$3.3 bn</w:t>
            </w:r>
          </w:p>
          <w:p>
            <w:pPr>
              <w:pStyle w:val="BodyText"/>
            </w:pPr>
            <w:r>
              <w:t xml:space="preserve">Or HVDC</w:t>
            </w:r>
            <w:r>
              <w:t xml:space="preserve"> </w:t>
            </w:r>
            <w:r>
              <w:t xml:space="preserve">wagga to</w:t>
            </w:r>
            <w:r>
              <w:t xml:space="preserve"> </w:t>
            </w:r>
            <w:r>
              <w:t xml:space="preserve">“bannaby”</w:t>
            </w:r>
            <w:r>
              <w:t xml:space="preserve"> </w:t>
            </w:r>
            <w:r>
              <w:t xml:space="preserve">$2 bn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5334000" cy="2228661"/>
                  <wp:effectExtent b="0" l="0" r="0" t="0"/>
                  <wp:docPr descr="A picture containing map Description automatically generated" title="" id="43" name="Picture"/>
                  <a:graphic>
                    <a:graphicData uri="http://schemas.openxmlformats.org/drawingml/2006/picture">
                      <pic:pic>
                        <pic:nvPicPr>
                          <pic:cNvPr descr="media/media/image7.png" id="4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228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{wi</w:t>
            </w:r>
            <w:r>
              <w:t xml:space="preserve"> </w:t>
            </w:r>
            <w:r>
              <w:t xml:space="preserve">dth=</w:t>
            </w:r>
            <w:r>
              <w:t xml:space="preserve">“2.5622430008748904in”</w:t>
            </w:r>
            <w:r>
              <w:t xml:space="preserve"> </w:t>
            </w:r>
            <w:r>
              <w:t xml:space="preserve">heig</w:t>
            </w:r>
            <w:r>
              <w:t xml:space="preserve"> </w:t>
            </w:r>
            <w:r>
              <w:t xml:space="preserve">ht=</w:t>
            </w:r>
            <w:r>
              <w:t xml:space="preserve">“1.0706310148731408in”</w:t>
            </w:r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Vic to</w:t>
            </w:r>
            <w:r>
              <w:t xml:space="preserve"> </w:t>
            </w:r>
            <w:r>
              <w:t xml:space="preserve">Southern</w:t>
            </w:r>
            <w:r>
              <w:t xml:space="preserve"> </w:t>
            </w:r>
            <w:r>
              <w:t xml:space="preserve">NSW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870</w:t>
            </w:r>
          </w:p>
        </w:tc>
        <w:tc>
          <w:tcPr/>
          <w:p>
            <w:pPr>
              <w:pStyle w:val="Compact"/>
            </w:pPr>
            <w:r>
              <w:t xml:space="preserve">VNI west in</w:t>
            </w:r>
            <w:r>
              <w:t xml:space="preserve"> </w:t>
            </w:r>
            <w:r>
              <w:t xml:space="preserve">some form</w:t>
            </w:r>
            <w:r>
              <w:t xml:space="preserve"> </w:t>
            </w:r>
            <w:r>
              <w:t xml:space="preserve">cost $3.0</w:t>
            </w:r>
            <w:r>
              <w:t xml:space="preserve"> </w:t>
            </w:r>
            <w:r>
              <w:t xml:space="preserve">bn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5334000" cy="2657406"/>
                  <wp:effectExtent b="0" l="0" r="0" t="0"/>
                  <wp:docPr descr="Diagram Description automatically generated" title="" id="46" name="Picture"/>
                  <a:graphic>
                    <a:graphicData uri="http://schemas.openxmlformats.org/drawingml/2006/picture">
                      <pic:pic>
                        <pic:nvPicPr>
                          <pic:cNvPr descr="media/media/image8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65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{wi</w:t>
            </w:r>
            <w:r>
              <w:t xml:space="preserve"> </w:t>
            </w:r>
            <w:r>
              <w:t xml:space="preserve">dth=</w:t>
            </w:r>
            <w:r>
              <w:t xml:space="preserve">“2.5554451006124235in”</w:t>
            </w:r>
            <w:r>
              <w:t xml:space="preserve"> </w:t>
            </w:r>
            <w:r>
              <w:t xml:space="preserve">heig</w:t>
            </w:r>
            <w:r>
              <w:t xml:space="preserve"> </w:t>
            </w:r>
            <w:r>
              <w:t xml:space="preserve">ht=</w:t>
            </w:r>
            <w:r>
              <w:t xml:space="preserve">“1.2731889763779527in”</w:t>
            </w:r>
            <w:r>
              <w:t xml:space="preserve">}</w:t>
            </w:r>
          </w:p>
        </w:tc>
      </w:tr>
    </w:tbl>
    <w:p>
      <w:pPr>
        <w:pStyle w:val="BodyText"/>
      </w:pPr>
      <w:r>
        <w:t xml:space="preserve">Figure 7 Transmission capacity by stage Vic to Sydney. Source: AEMO</w:t>
      </w:r>
    </w:p>
    <w:bookmarkEnd w:id="48"/>
    <w:bookmarkStart w:id="55" w:name="X59362761a08652043c478cba4d9c222b5098c89"/>
    <w:p>
      <w:pPr>
        <w:pStyle w:val="Heading1"/>
      </w:pPr>
      <w:r>
        <w:t xml:space="preserve">Eraring sharpens the NSW net importer focus</w:t>
      </w:r>
    </w:p>
    <w:p>
      <w:pPr>
        <w:pStyle w:val="FirstParagraph"/>
      </w:pPr>
      <w:r>
        <w:t xml:space="preserve">One thing the closure of Eraring does is to heighten NSW’s historic</w:t>
      </w:r>
      <w:r>
        <w:t xml:space="preserve"> </w:t>
      </w:r>
      <w:r>
        <w:t xml:space="preserve">status as a net electricity importer, that is demand is higher than</w:t>
      </w:r>
      <w:r>
        <w:t xml:space="preserve"> </w:t>
      </w:r>
      <w:r>
        <w:t xml:space="preserve">production with energy being imported from Queensland and NSW.</w:t>
      </w:r>
    </w:p>
    <w:p>
      <w:pPr>
        <w:pStyle w:val="BodyText"/>
      </w:pPr>
      <w:r>
        <w:t xml:space="preserve">The NSW Electricity roadmap will, if fully executed, likely make demand</w:t>
      </w:r>
      <w:r>
        <w:t xml:space="preserve"> </w:t>
      </w:r>
      <w:r>
        <w:t xml:space="preserve">and supply more in balance but in 2022, 2030 is still a long way off.</w:t>
      </w:r>
    </w:p>
    <w:p>
      <w:pPr>
        <w:pStyle w:val="BodyText"/>
      </w:pPr>
      <w:r>
        <w:t xml:space="preserve">The NSW transmission augmentation schedule looks as follows:</w:t>
      </w:r>
    </w:p>
    <w:p>
      <w:pPr>
        <w:pStyle w:val="CaptionedFigure"/>
      </w:pPr>
      <w:r>
        <w:drawing>
          <wp:inline>
            <wp:extent cx="5334000" cy="2325198"/>
            <wp:effectExtent b="0" l="0" r="0" t="0"/>
            <wp:docPr descr="Timeline Description automatically generated" title="" id="50" name="Picture"/>
            <a:graphic>
              <a:graphicData uri="http://schemas.openxmlformats.org/drawingml/2006/picture">
                <pic:pic>
                  <pic:nvPicPr>
                    <pic:cNvPr descr="media/media/image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5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Timeline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8 NSW network augmentation, Source: AEMO Services</w:t>
      </w:r>
    </w:p>
    <w:p>
      <w:pPr>
        <w:pStyle w:val="BodyText"/>
      </w:pPr>
      <w:r>
        <w:t xml:space="preserve">And the broader context is shown in the map below.</w:t>
      </w:r>
    </w:p>
    <w:p>
      <w:pPr>
        <w:pStyle w:val="CaptionedFigure"/>
      </w:pPr>
      <w:r>
        <w:drawing>
          <wp:inline>
            <wp:extent cx="5334000" cy="5959650"/>
            <wp:effectExtent b="0" l="0" r="0" t="0"/>
            <wp:docPr descr="Diagram, map Description automatically generated" title="" id="53" name="Picture"/>
            <a:graphic>
              <a:graphicData uri="http://schemas.openxmlformats.org/drawingml/2006/picture">
                <pic:pic>
                  <pic:nvPicPr>
                    <pic:cNvPr descr="media/media/image10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59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Diagram, map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9 Transmission development in NSW, VIC, QLD. Source: draft ISP</w:t>
      </w:r>
      <w:r>
        <w:t xml:space="preserve"> </w:t>
      </w:r>
      <w:r>
        <w:t xml:space="preserve">2022</w:t>
      </w:r>
    </w:p>
    <w:bookmarkEnd w:id="55"/>
    <w:bookmarkStart w:id="63" w:name="X7ac8fa64ba0a1cc9790499ece207b0940e10491"/>
    <w:p>
      <w:pPr>
        <w:pStyle w:val="Heading1"/>
      </w:pPr>
      <w:r>
        <w:t xml:space="preserve">RIT tests are nonsense, they obscure the basic questions behind complex unverifiable scenarios.</w:t>
      </w:r>
    </w:p>
    <w:p>
      <w:pPr>
        <w:pStyle w:val="FirstParagraph"/>
      </w:pPr>
      <w:r>
        <w:t xml:space="preserve">The traditional regulatory test for consumer paid transmission called</w:t>
      </w:r>
      <w:r>
        <w:t xml:space="preserve"> </w:t>
      </w:r>
      <w:r>
        <w:t xml:space="preserve">the RIT-T is theoretically perfect enough to satisfy even John Pierce.</w:t>
      </w:r>
      <w:r>
        <w:t xml:space="preserve"> </w:t>
      </w:r>
      <w:r>
        <w:t xml:space="preserve">In practice though it’s a load of old cobblers. In reality by the time</w:t>
      </w:r>
      <w:r>
        <w:t xml:space="preserve"> </w:t>
      </w:r>
      <w:r>
        <w:t xml:space="preserve">the RIT is undertaken the decision to build the transmission capacity</w:t>
      </w:r>
      <w:r>
        <w:t xml:space="preserve"> </w:t>
      </w:r>
      <w:r>
        <w:t xml:space="preserve">has already been taken. It is just a discussion of the appropriate route</w:t>
      </w:r>
      <w:r>
        <w:t xml:space="preserve"> </w:t>
      </w:r>
      <w:r>
        <w:t xml:space="preserve">and the electrical characteristics of the link. And that is more a</w:t>
      </w:r>
      <w:r>
        <w:t xml:space="preserve"> </w:t>
      </w:r>
      <w:r>
        <w:t xml:space="preserve">technical than economic discussion. In the case of Humelink a 5%</w:t>
      </w:r>
      <w:r>
        <w:t xml:space="preserve"> </w:t>
      </w:r>
      <w:r>
        <w:t xml:space="preserve">difference in NPVs is regarded as sufficiently material to justify one</w:t>
      </w:r>
      <w:r>
        <w:t xml:space="preserve"> </w:t>
      </w:r>
      <w:r>
        <w:t xml:space="preserve">route choice over another. This is frankly humorous.. HVDC was dismissed</w:t>
      </w:r>
      <w:r>
        <w:t xml:space="preserve"> </w:t>
      </w:r>
      <w:r>
        <w:t xml:space="preserve">as 50%-100% more expensive in the PADR. 50% to 100%? In AEMO’s</w:t>
      </w:r>
      <w:r>
        <w:t xml:space="preserve"> </w:t>
      </w:r>
      <w:r>
        <w:t xml:space="preserve">transmission cost database, HVDC for Humelink looks quite good on a cost</w:t>
      </w:r>
      <w:r>
        <w:t xml:space="preserve"> </w:t>
      </w:r>
      <w:r>
        <w:t xml:space="preserve">basis, although the</w:t>
      </w:r>
      <w:r>
        <w:t xml:space="preserve"> </w:t>
      </w:r>
      <w:r>
        <w:t xml:space="preserve">“benefits”</w:t>
      </w:r>
      <w:r>
        <w:t xml:space="preserve"> </w:t>
      </w:r>
      <w:r>
        <w:t xml:space="preserve">aren’t modelled.</w:t>
      </w:r>
    </w:p>
    <w:p>
      <w:pPr>
        <w:pStyle w:val="BodyText"/>
      </w:pPr>
      <w:r>
        <w:t xml:space="preserve">Complex NPV models used to justify one transmission route over another</w:t>
      </w:r>
      <w:r>
        <w:t xml:space="preserve"> </w:t>
      </w:r>
      <w:r>
        <w:t xml:space="preserve">that attempt to predict over 20 or 30 or 40 years what generation mix</w:t>
      </w:r>
      <w:r>
        <w:t xml:space="preserve"> </w:t>
      </w:r>
      <w:r>
        <w:t xml:space="preserve">will be built if one transmission link is built or not built completely</w:t>
      </w:r>
      <w:r>
        <w:t xml:space="preserve"> </w:t>
      </w:r>
      <w:r>
        <w:t xml:space="preserve">hide the forest for the trees. Costs and benefits and costs to consumers</w:t>
      </w:r>
      <w:r>
        <w:t xml:space="preserve"> </w:t>
      </w:r>
      <w:r>
        <w:t xml:space="preserve">are important but financial models aren’t meant to be used</w:t>
      </w:r>
      <w:r>
        <w:t xml:space="preserve"> </w:t>
      </w:r>
      <w:r>
        <w:t xml:space="preserve">deterministically. NPV models generally have wide margins of error at</w:t>
      </w:r>
      <w:r>
        <w:t xml:space="preserve"> </w:t>
      </w:r>
      <w:r>
        <w:t xml:space="preserve">the best of times and are a decision input not the be all and end all.</w:t>
      </w:r>
    </w:p>
    <w:p>
      <w:pPr>
        <w:pStyle w:val="BodyText"/>
      </w:pPr>
      <w:r>
        <w:t xml:space="preserve">Its good judgement that drives good decisions, not easily manipulated,</w:t>
      </w:r>
      <w:r>
        <w:t xml:space="preserve"> </w:t>
      </w:r>
      <w:r>
        <w:t xml:space="preserve">difficult to verify NPV models about future fuel mixes that are out of</w:t>
      </w:r>
      <w:r>
        <w:t xml:space="preserve"> </w:t>
      </w:r>
      <w:r>
        <w:t xml:space="preserve">date before they are even published. How does one know what a good</w:t>
      </w:r>
      <w:r>
        <w:t xml:space="preserve"> </w:t>
      </w:r>
      <w:r>
        <w:t xml:space="preserve">judgement is? Well there’s the rub of it.</w:t>
      </w:r>
    </w:p>
    <w:p>
      <w:pPr>
        <w:pStyle w:val="BodyText"/>
      </w:pPr>
      <w:r>
        <w:t xml:space="preserve">The ISP is the primary decision input into what transmission is needed</w:t>
      </w:r>
      <w:r>
        <w:t xml:space="preserve"> </w:t>
      </w:r>
      <w:r>
        <w:t xml:space="preserve">and the order in which it should be built. It is a fair point to be</w:t>
      </w:r>
      <w:r>
        <w:t xml:space="preserve"> </w:t>
      </w:r>
      <w:r>
        <w:t xml:space="preserve">made, as Bruce Mountain and Ted Woodley make at every opportunity that</w:t>
      </w:r>
      <w:r>
        <w:t xml:space="preserve"> </w:t>
      </w:r>
      <w:r>
        <w:t xml:space="preserve">the ISP takes a set of State and Federal policies as inputs and then</w:t>
      </w:r>
      <w:r>
        <w:t xml:space="preserve"> </w:t>
      </w:r>
      <w:r>
        <w:t xml:space="preserve">works out a solution. Certainly Snowy 2 should have been modelled</w:t>
      </w:r>
      <w:r>
        <w:t xml:space="preserve"> </w:t>
      </w:r>
      <w:r>
        <w:t xml:space="preserve">simultaneously with the ISP, but that is now irrelevant. Similarly if</w:t>
      </w:r>
      <w:r>
        <w:t xml:space="preserve"> </w:t>
      </w:r>
      <w:r>
        <w:t xml:space="preserve">Queensland Govt eventually decides that actions matter more than words</w:t>
      </w:r>
      <w:r>
        <w:t xml:space="preserve"> </w:t>
      </w:r>
      <w:r>
        <w:t xml:space="preserve">and stops trying to pretend it can simultaneously decarbonise , meet its</w:t>
      </w:r>
      <w:r>
        <w:t xml:space="preserve"> </w:t>
      </w:r>
      <w:r>
        <w:t xml:space="preserve">renewable energy targets and keep coal generation open then it may build</w:t>
      </w:r>
      <w:r>
        <w:t xml:space="preserve"> </w:t>
      </w:r>
      <w:r>
        <w:t xml:space="preserve">new transmission and the ISP will adapt to include that external</w:t>
      </w:r>
      <w:r>
        <w:t xml:space="preserve"> </w:t>
      </w:r>
      <w:r>
        <w:t xml:space="preserve">decision.</w:t>
      </w:r>
    </w:p>
    <w:bookmarkStart w:id="62" w:name="humelink-and-the-rit"/>
    <w:p>
      <w:pPr>
        <w:pStyle w:val="Heading2"/>
      </w:pPr>
      <w:r>
        <w:t xml:space="preserve">Humelink and the RIT</w:t>
      </w:r>
    </w:p>
    <w:p>
      <w:pPr>
        <w:pStyle w:val="FirstParagraph"/>
      </w:pPr>
      <w:r>
        <w:t xml:space="preserve">Over the next few years the main transmission increase in NSW will come</w:t>
      </w:r>
      <w:r>
        <w:t xml:space="preserve"> </w:t>
      </w:r>
      <w:r>
        <w:t xml:space="preserve">from EnergyConnect [SA to Wagga NSW] and then in moving the supply</w:t>
      </w:r>
      <w:r>
        <w:t xml:space="preserve"> </w:t>
      </w:r>
      <w:r>
        <w:t xml:space="preserve">from Wagga through to Sydney its</w:t>
      </w:r>
      <w:r>
        <w:t xml:space="preserve"> </w:t>
      </w:r>
      <w:r>
        <w:t xml:space="preserve">“Humelink”</w:t>
      </w:r>
      <w:r>
        <w:t xml:space="preserve">. Humelink at $3.3 bn is</w:t>
      </w:r>
      <w:r>
        <w:t xml:space="preserve"> </w:t>
      </w:r>
      <w:r>
        <w:t xml:space="preserve">basically the same cost as both stages of Marinus Link ($3.5 bn).</w:t>
      </w:r>
      <w:r>
        <w:drawing>
          <wp:inline>
            <wp:extent cx="5334000" cy="2163167"/>
            <wp:effectExtent b="0" l="0" r="0" t="0"/>
            <wp:docPr descr="A picture containing graphical user interface Description automatically generated" title="" id="57" name="Picture"/>
            <a:graphic>
              <a:graphicData uri="http://schemas.openxmlformats.org/drawingml/2006/picture">
                <pic:pic>
                  <pic:nvPicPr>
                    <pic:cNvPr descr="media/media/image1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3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10 Humelink 3C showing Wagga and Snowy legs. Source: Transgrid</w:t>
      </w:r>
    </w:p>
    <w:p>
      <w:pPr>
        <w:pStyle w:val="BodyText"/>
      </w:pPr>
      <w:r>
        <w:t xml:space="preserve">Humelink was required to be justified using an RIT-T [Regulatory</w:t>
      </w:r>
      <w:r>
        <w:t xml:space="preserve"> </w:t>
      </w:r>
      <w:r>
        <w:t xml:space="preserve">Investment Test]. The potential owner of the transmission [Transgrid</w:t>
      </w:r>
      <w:r>
        <w:t xml:space="preserve"> </w:t>
      </w:r>
      <w:r>
        <w:t xml:space="preserve">in this case] looks at the investment case for the transmission line</w:t>
      </w:r>
      <w:r>
        <w:t xml:space="preserve"> </w:t>
      </w:r>
      <w:r>
        <w:t xml:space="preserve">and creates a Net present value [NPV] model which compares generation</w:t>
      </w:r>
      <w:r>
        <w:t xml:space="preserve"> </w:t>
      </w:r>
      <w:r>
        <w:t xml:space="preserve">costs and sometimes competition with the transmission against what the</w:t>
      </w:r>
      <w:r>
        <w:t xml:space="preserve"> </w:t>
      </w:r>
      <w:r>
        <w:t xml:space="preserve">modeller thinks will happen without it. Then the Australian Energy</w:t>
      </w:r>
      <w:r>
        <w:t xml:space="preserve"> </w:t>
      </w:r>
      <w:r>
        <w:t xml:space="preserve">Regulator [AER] considers the model and takes submissions. If the</w:t>
      </w:r>
      <w:r>
        <w:t xml:space="preserve"> </w:t>
      </w:r>
      <w:r>
        <w:t xml:space="preserve">model has a positive NPV and its more positive than other options</w:t>
      </w:r>
      <w:r>
        <w:t xml:space="preserve"> </w:t>
      </w:r>
      <w:r>
        <w:t xml:space="preserve">modelled by the proponent then the AER gives it a conditional tick.</w:t>
      </w:r>
    </w:p>
    <w:p>
      <w:pPr>
        <w:pStyle w:val="BodyText"/>
      </w:pPr>
      <w:r>
        <w:t xml:space="preserve">ITK thinks that the models for most of this transmission have little or</w:t>
      </w:r>
      <w:r>
        <w:t xml:space="preserve"> </w:t>
      </w:r>
      <w:r>
        <w:t xml:space="preserve">no chance of being correct, in the sense that outcomes and</w:t>
      </w:r>
      <w:r>
        <w:t xml:space="preserve"> </w:t>
      </w:r>
      <w:r>
        <w:t xml:space="preserve">counterfactuals in the real world will not correspond to the modelled</w:t>
      </w:r>
      <w:r>
        <w:t xml:space="preserve"> </w:t>
      </w:r>
      <w:r>
        <w:t xml:space="preserve">outcomes, and more importantly are totally besides the real point.</w:t>
      </w:r>
      <w:r>
        <w:t xml:space="preserve"> </w:t>
      </w:r>
      <w:r>
        <w:t xml:space="preserve">Consider project EnergyConnect. Its NPV model assumed that all the gas</w:t>
      </w:r>
      <w:r>
        <w:t xml:space="preserve"> </w:t>
      </w:r>
      <w:r>
        <w:t xml:space="preserve">generators in South Australia would shut down the day EnergyConnect</w:t>
      </w:r>
      <w:r>
        <w:t xml:space="preserve"> </w:t>
      </w:r>
      <w:r>
        <w:t xml:space="preserve">opened. That’s clearly just a</w:t>
      </w:r>
      <w:r>
        <w:t xml:space="preserve"> </w:t>
      </w:r>
      <w:r>
        <w:t xml:space="preserve">“modelling assumption”</w:t>
      </w:r>
      <w:r>
        <w:t xml:space="preserve">. The fact that is</w:t>
      </w:r>
      <w:r>
        <w:t xml:space="preserve"> </w:t>
      </w:r>
      <w:r>
        <w:t xml:space="preserve">obviously not going to happen doesn’t invalidate or validate the case</w:t>
      </w:r>
      <w:r>
        <w:t xml:space="preserve"> </w:t>
      </w:r>
      <w:r>
        <w:t xml:space="preserve">for connecting South Australia to NSW.</w:t>
      </w:r>
    </w:p>
    <w:p>
      <w:pPr>
        <w:pStyle w:val="BodyText"/>
      </w:pPr>
      <w:r>
        <w:t xml:space="preserve">So it is with Humelink where the NPV is created by a model that shows</w:t>
      </w:r>
      <w:r>
        <w:t xml:space="preserve"> </w:t>
      </w:r>
      <w:r>
        <w:t xml:space="preserve">avoided fuel costs and avoided investment if Humelink is built. It’s a</w:t>
      </w:r>
      <w:r>
        <w:t xml:space="preserve"> </w:t>
      </w:r>
      <w:r>
        <w:t xml:space="preserve">model with many assumptions about events far into the future which is</w:t>
      </w:r>
      <w:r>
        <w:t xml:space="preserve"> </w:t>
      </w:r>
      <w:r>
        <w:t xml:space="preserve">more or less incapbable of being assessed by anyone other than the model</w:t>
      </w:r>
      <w:r>
        <w:t xml:space="preserve"> </w:t>
      </w:r>
      <w:r>
        <w:t xml:space="preserve">builder. The truth of most big NPV models is that very few people will</w:t>
      </w:r>
      <w:r>
        <w:t xml:space="preserve"> </w:t>
      </w:r>
      <w:r>
        <w:t xml:space="preserve">ever learn how they actually work, the fudges, plugs and modelling</w:t>
      </w:r>
      <w:r>
        <w:t xml:space="preserve"> </w:t>
      </w:r>
      <w:r>
        <w:t xml:space="preserve">assumptions that are required usually means that only the one or two</w:t>
      </w:r>
      <w:r>
        <w:t xml:space="preserve"> </w:t>
      </w:r>
      <w:r>
        <w:t xml:space="preserve">peple that build the model can keep it running and do the sensitivies.</w:t>
      </w:r>
      <w:r>
        <w:t xml:space="preserve"> </w:t>
      </w:r>
      <w:r>
        <w:t xml:space="preserve">And, in ITK’s opinion the models hide the forest for the trees. What</w:t>
      </w:r>
      <w:r>
        <w:t xml:space="preserve"> </w:t>
      </w:r>
      <w:r>
        <w:t xml:space="preserve">does it really matter if there is less solar and more wind if Humelink</w:t>
      </w:r>
      <w:r>
        <w:t xml:space="preserve"> </w:t>
      </w:r>
      <w:r>
        <w:t xml:space="preserve">is built?</w:t>
      </w:r>
      <w:r>
        <w:t xml:space="preserve"> </w:t>
      </w:r>
      <w:r>
        <w:rPr>
          <w:b/>
          <w:bCs/>
        </w:rPr>
        <w:t xml:space="preserve">The real, and pretty much only relevant question is whether</w:t>
      </w:r>
      <w:r>
        <w:rPr>
          <w:b/>
          <w:bCs/>
        </w:rPr>
        <w:t xml:space="preserve"> </w:t>
      </w:r>
      <w:r>
        <w:rPr>
          <w:b/>
          <w:bCs/>
        </w:rPr>
        <w:t xml:space="preserve">the NSW needs the extra capacity that Humelink provides.</w:t>
      </w:r>
      <w:r>
        <w:t xml:space="preserve"> </w:t>
      </w:r>
      <w:r>
        <w:t xml:space="preserve">For instance</w:t>
      </w:r>
      <w:r>
        <w:t xml:space="preserve"> </w:t>
      </w:r>
      <w:r>
        <w:t xml:space="preserve">will the Energy Connect capacity be stranded at Wagga without Humelink?</w:t>
      </w:r>
      <w:r>
        <w:t xml:space="preserve"> </w:t>
      </w:r>
      <w:r>
        <w:t xml:space="preserve">Will Snowy capacity be available without Humelink? If Snowy is hogging</w:t>
      </w:r>
      <w:r>
        <w:t xml:space="preserve"> </w:t>
      </w:r>
      <w:r>
        <w:t xml:space="preserve">the transmission can Energyconnect still be useful?</w:t>
      </w:r>
    </w:p>
    <w:p>
      <w:pPr>
        <w:pStyle w:val="BodyText"/>
      </w:pPr>
      <w:r>
        <w:t xml:space="preserve">The Humelink Project Assessment Conclusion Report [PACR] was prepared</w:t>
      </w:r>
      <w:r>
        <w:t xml:space="preserve"> </w:t>
      </w:r>
      <w:r>
        <w:t xml:space="preserve">before the draft 2022 ISP was released but under the 2020 version of</w:t>
      </w:r>
      <w:r>
        <w:t xml:space="preserve"> </w:t>
      </w:r>
      <w:r>
        <w:t xml:space="preserve">“stepchange”</w:t>
      </w:r>
      <w:r>
        <w:t xml:space="preserve"> </w:t>
      </w:r>
      <w:r>
        <w:t xml:space="preserve">it had</w:t>
      </w:r>
      <w:r>
        <w:t xml:space="preserve"> </w:t>
      </w:r>
      <w:r>
        <w:t xml:space="preserve">“net benefits”</w:t>
      </w:r>
      <w:r>
        <w:t xml:space="preserve"> </w:t>
      </w:r>
      <w:r>
        <w:t xml:space="preserve">of $0.6 bn.. The PACR states:</w:t>
      </w:r>
    </w:p>
    <w:p>
      <w:pPr>
        <w:pStyle w:val="Compact"/>
        <w:numPr>
          <w:ilvl w:val="0"/>
          <w:numId w:val="1001"/>
        </w:numPr>
      </w:pPr>
      <w:r>
        <w:t xml:space="preserve">“these benefits are found to be most significant around the time</w:t>
      </w:r>
      <w:r>
        <w:t xml:space="preserve"> </w:t>
      </w:r>
      <w:r>
        <w:t xml:space="preserve">large black coal generators are expected to retire and are initially</w:t>
      </w:r>
      <w:r>
        <w:t xml:space="preserve"> </w:t>
      </w:r>
      <w:r>
        <w:t xml:space="preserve">driven by an increased utilisation of Snowy 2.0 and changes in</w:t>
      </w:r>
      <w:r>
        <w:t xml:space="preserve"> </w:t>
      </w:r>
      <w:r>
        <w:t xml:space="preserve">capacity mix that result in the avoidance of LS battery build in New</w:t>
      </w:r>
      <w:r>
        <w:t xml:space="preserve"> </w:t>
      </w:r>
      <w:r>
        <w:t xml:space="preserve">South Wales from 2026/27”</w:t>
      </w:r>
    </w:p>
    <w:p>
      <w:pPr>
        <w:pStyle w:val="FirstParagraph"/>
      </w:pPr>
      <w:r>
        <w:t xml:space="preserve">And one can almost hear Bruce Mountain and Ted Woolley immediately</w:t>
      </w:r>
      <w:r>
        <w:t xml:space="preserve"> </w:t>
      </w:r>
      <w:r>
        <w:t xml:space="preserve">jumping up and down and banging the drum about why isn’t Snowy paying if</w:t>
      </w:r>
      <w:r>
        <w:t xml:space="preserve"> </w:t>
      </w:r>
      <w:r>
        <w:t xml:space="preserve">it is getting the benefit. I would make a slightly different point which</w:t>
      </w:r>
      <w:r>
        <w:t xml:space="preserve"> </w:t>
      </w:r>
      <w:r>
        <w:t xml:space="preserve">is its already clear the batteries are going to get built anyway.</w:t>
      </w:r>
    </w:p>
    <w:p>
      <w:pPr>
        <w:pStyle w:val="BodyText"/>
      </w:pPr>
      <w:r>
        <w:t xml:space="preserve">In fact about 1800 MW of utility scale battery is already confirmed for</w:t>
      </w:r>
      <w:r>
        <w:t xml:space="preserve"> </w:t>
      </w:r>
      <w:r>
        <w:t xml:space="preserve">NSW, equal to 90% of the power that Snowy 2 will be capable of and all</w:t>
      </w:r>
      <w:r>
        <w:t xml:space="preserve"> </w:t>
      </w:r>
      <w:r>
        <w:t xml:space="preserve">of it will be built long before Snowy 2 is up and running. Duration</w:t>
      </w:r>
      <w:r>
        <w:t xml:space="preserve"> </w:t>
      </w:r>
      <w:r>
        <w:t xml:space="preserve">though will be short. More batteries and eventually pumped hydro are</w:t>
      </w:r>
      <w:r>
        <w:t xml:space="preserve"> </w:t>
      </w:r>
      <w:r>
        <w:t xml:space="preserve">coming. Residential batteries grow steadily, vehicle to the grid etc.</w:t>
      </w:r>
      <w:r>
        <w:t xml:space="preserve"> </w:t>
      </w:r>
      <w:r>
        <w:t xml:space="preserve">The batteries don’t invalidate Humelink because the reality is that NSW</w:t>
      </w:r>
      <w:r>
        <w:t xml:space="preserve"> </w:t>
      </w:r>
      <w:r>
        <w:t xml:space="preserve">needs Humelink even though it’s a fairly marginal project.</w:t>
      </w:r>
    </w:p>
    <w:tbl>
      <w:tblPr>
        <w:tblStyle w:val="Table"/>
        <w:tblW w:type="pct" w:w="4867"/>
        <w:tblLayout w:type="fixed"/>
        <w:tblLook w:firstRow="1" w:lastRow="0" w:firstColumn="0" w:lastColumn="0" w:noHBand="0" w:noVBand="0" w:val="0020"/>
      </w:tblPr>
      <w:tblGrid>
        <w:gridCol w:w="3273"/>
        <w:gridCol w:w="2217"/>
        <w:gridCol w:w="2217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Confirmed NSW batteries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MW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MWh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Project Waratah</w:t>
            </w:r>
          </w:p>
        </w:tc>
        <w:tc>
          <w:tcPr/>
          <w:p>
            <w:pPr>
              <w:pStyle w:val="Compact"/>
            </w:pPr>
            <w:r>
              <w:t xml:space="preserve">700</w:t>
            </w:r>
          </w:p>
        </w:tc>
        <w:tc>
          <w:tcPr/>
          <w:p>
            <w:pPr>
              <w:pStyle w:val="Compact"/>
            </w:pPr>
            <w:r>
              <w:t xml:space="preserve">1400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Liddell</w:t>
            </w:r>
          </w:p>
        </w:tc>
        <w:tc>
          <w:tcPr/>
          <w:p>
            <w:pPr>
              <w:pStyle w:val="Compact"/>
            </w:pPr>
            <w:r>
              <w:t xml:space="preserve">500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Eraring Stage 1</w:t>
            </w:r>
          </w:p>
        </w:tc>
        <w:tc>
          <w:tcPr/>
          <w:p>
            <w:pPr>
              <w:pStyle w:val="Compact"/>
            </w:pPr>
            <w:r>
              <w:t xml:space="preserve">400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Darlington Point</w:t>
            </w:r>
          </w:p>
        </w:tc>
        <w:tc>
          <w:tcPr/>
          <w:p>
            <w:pPr>
              <w:pStyle w:val="Compact"/>
            </w:pPr>
            <w:r>
              <w:t xml:space="preserve">100</w:t>
            </w:r>
          </w:p>
        </w:tc>
        <w:tc>
          <w:tcPr/>
          <w:p>
            <w:pPr>
              <w:pStyle w:val="Compact"/>
            </w:pPr>
            <w:r>
              <w:t xml:space="preserve">200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Canberra</w:t>
            </w:r>
          </w:p>
        </w:tc>
        <w:tc>
          <w:tcPr/>
          <w:p>
            <w:pPr>
              <w:pStyle w:val="Compact"/>
            </w:pPr>
            <w:r>
              <w:t xml:space="preserve">100</w:t>
            </w:r>
          </w:p>
        </w:tc>
        <w:tc>
          <w:tcPr/>
          <w:p>
            <w:pPr>
              <w:pStyle w:val="Compact"/>
            </w:pPr>
            <w:r>
              <w:t xml:space="preserve">200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1800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11 Confirmed NSW batteries. Source: Company announcements</w:t>
      </w:r>
    </w:p>
    <w:p>
      <w:pPr>
        <w:pStyle w:val="BodyText"/>
      </w:pPr>
      <w:r>
        <w:t xml:space="preserve">Notwithstanding my respect for EY’s modelling the change in generation</w:t>
      </w:r>
      <w:r>
        <w:t xml:space="preserve"> </w:t>
      </w:r>
      <w:r>
        <w:t xml:space="preserve">output by fuel they forecast compared to the no Humelink scenario is not</w:t>
      </w:r>
      <w:r>
        <w:t xml:space="preserve"> </w:t>
      </w:r>
      <w:r>
        <w:t xml:space="preserve">particularly intuitive..</w:t>
      </w:r>
      <w:r>
        <w:br/>
      </w:r>
      <w:r>
        <w:drawing>
          <wp:inline>
            <wp:extent cx="5334000" cy="2742693"/>
            <wp:effectExtent b="0" l="0" r="0" t="0"/>
            <wp:docPr descr="Timeline Description automatically generated" title="" id="60" name="Picture"/>
            <a:graphic>
              <a:graphicData uri="http://schemas.openxmlformats.org/drawingml/2006/picture">
                <pic:pic>
                  <pic:nvPicPr>
                    <pic:cNvPr descr="media/media/image12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26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12 Humelink benefits. Source: Transgrid PACR addendum</w:t>
      </w:r>
    </w:p>
    <w:p>
      <w:pPr>
        <w:pStyle w:val="BodyText"/>
      </w:pPr>
      <w:r>
        <w:t xml:space="preserve">But hands up if this graph convinces you that Humelink is a good or a</w:t>
      </w:r>
      <w:r>
        <w:t xml:space="preserve"> </w:t>
      </w:r>
      <w:r>
        <w:t xml:space="preserve">bad idea?</w:t>
      </w:r>
    </w:p>
    <w:p>
      <w:pPr>
        <w:pStyle w:val="BodyText"/>
      </w:pPr>
      <w:r>
        <w:t xml:space="preserve">There are an infinite number of alternative future paths other than what</w:t>
      </w:r>
      <w:r>
        <w:t xml:space="preserve"> </w:t>
      </w:r>
      <w:r>
        <w:t xml:space="preserve">is modelled. That’s not to invalidate the model or to under estimate its</w:t>
      </w:r>
      <w:r>
        <w:t xml:space="preserve"> </w:t>
      </w:r>
      <w:r>
        <w:t xml:space="preserve">usefulness. In my opinion though it shouldn’t be the sole driver of</w:t>
      </w:r>
      <w:r>
        <w:t xml:space="preserve"> </w:t>
      </w:r>
      <w:r>
        <w:t xml:space="preserve">whether to build Humelink or which route it should take or the</w:t>
      </w:r>
      <w:r>
        <w:t xml:space="preserve"> </w:t>
      </w:r>
      <w:r>
        <w:t xml:space="preserve">configuration. And as we will get to the model has no explicit allowance</w:t>
      </w:r>
      <w:r>
        <w:t xml:space="preserve"> </w:t>
      </w:r>
      <w:r>
        <w:t xml:space="preserve">for carbon or for social license. In this sense it’s a giant well</w:t>
      </w:r>
      <w:r>
        <w:t xml:space="preserve"> </w:t>
      </w:r>
      <w:r>
        <w:t xml:space="preserve">intentioned furphy.</w:t>
      </w:r>
    </w:p>
    <w:bookmarkEnd w:id="62"/>
    <w:bookmarkEnd w:id="63"/>
    <w:bookmarkStart w:id="66" w:name="X021a85e44dae0a20be83579a11212fec3d188e4"/>
    <w:p>
      <w:pPr>
        <w:pStyle w:val="Heading1"/>
      </w:pPr>
      <w:r>
        <w:t xml:space="preserve">Transmission provides diversity, insurance and competition</w:t>
      </w:r>
    </w:p>
    <w:p>
      <w:pPr>
        <w:pStyle w:val="FirstParagraph"/>
      </w:pPr>
      <w:r>
        <w:t xml:space="preserve">A strong transmission backbone in the NEM increases the resilience of</w:t>
      </w:r>
      <w:r>
        <w:t xml:space="preserve"> </w:t>
      </w:r>
      <w:r>
        <w:t xml:space="preserve">the NEM by reducing dependence on local sources of power and energy. It</w:t>
      </w:r>
      <w:r>
        <w:t xml:space="preserve"> </w:t>
      </w:r>
      <w:r>
        <w:t xml:space="preserve">also makes the NEM fairer by increasing inter regional competition. The</w:t>
      </w:r>
      <w:r>
        <w:t xml:space="preserve"> </w:t>
      </w:r>
      <w:r>
        <w:t xml:space="preserve">history of the NEM shows that when the NSW and Victorian markets were</w:t>
      </w:r>
      <w:r>
        <w:t xml:space="preserve"> </w:t>
      </w:r>
      <w:r>
        <w:t xml:space="preserve">brought together in the original Hilmer/Coag reforms of the early 1990s</w:t>
      </w:r>
      <w:r>
        <w:t xml:space="preserve"> </w:t>
      </w:r>
      <w:r>
        <w:t xml:space="preserve">that NSW and Victorian coal generators competed strongly against each</w:t>
      </w:r>
      <w:r>
        <w:t xml:space="preserve"> </w:t>
      </w:r>
      <w:r>
        <w:t xml:space="preserve">other to the benefit of consumers and the detriment of generators.</w:t>
      </w:r>
    </w:p>
    <w:p>
      <w:pPr>
        <w:pStyle w:val="BodyText"/>
      </w:pPr>
      <w:r>
        <w:t xml:space="preserve">In a different world NSW could build lots of batteries and pumped hydro</w:t>
      </w:r>
      <w:r>
        <w:t xml:space="preserve"> </w:t>
      </w:r>
      <w:r>
        <w:t xml:space="preserve">and have less interstate transmission capability. ITK believes that such</w:t>
      </w:r>
      <w:r>
        <w:t xml:space="preserve"> </w:t>
      </w:r>
      <w:r>
        <w:t xml:space="preserve">an outcome would likely eventually lead to a few big players running the</w:t>
      </w:r>
      <w:r>
        <w:t xml:space="preserve"> </w:t>
      </w:r>
      <w:r>
        <w:t xml:space="preserve">NSW market to consumers detriment. Of course that can happen NEM wide</w:t>
      </w:r>
      <w:r>
        <w:t xml:space="preserve"> </w:t>
      </w:r>
      <w:r>
        <w:t xml:space="preserve">but the bigger the market the harder it is for an oligopoly to emerge.</w:t>
      </w:r>
    </w:p>
    <w:p>
      <w:pPr>
        <w:pStyle w:val="BodyText"/>
      </w:pPr>
      <w:r>
        <w:t xml:space="preserve">Transmission provides both capacity and energy. In that sense its</w:t>
      </w:r>
      <w:r>
        <w:t xml:space="preserve"> </w:t>
      </w:r>
      <w:r>
        <w:t xml:space="preserve">dispatchable power.</w:t>
      </w:r>
    </w:p>
    <w:bookmarkStart w:id="64" w:name="Xb3b0d4d3c5364272015dcf9e475d786611c34a3"/>
    <w:p>
      <w:pPr>
        <w:pStyle w:val="Heading2"/>
      </w:pPr>
      <w:r>
        <w:t xml:space="preserve">Transmission is a relatively minor part of electricity costs, the costs to consumers of over building transmission are minor</w:t>
      </w:r>
    </w:p>
    <w:p>
      <w:pPr>
        <w:pStyle w:val="FirstParagraph"/>
      </w:pPr>
      <w:r>
        <w:t xml:space="preserve">The draft ISP summarises the overall picture for transmission</w:t>
      </w:r>
      <w:r>
        <w:t xml:space="preserve"> </w:t>
      </w:r>
      <w:r>
        <w:t xml:space="preserve">development in the NEM as follows:</w:t>
      </w:r>
    </w:p>
    <w:tbl>
      <w:tblPr>
        <w:tblStyle w:val="Table"/>
        <w:tblW w:type="pct" w:w="4865"/>
        <w:tblLayout w:type="fixed"/>
        <w:tblLook w:firstRow="1" w:lastRow="0" w:firstColumn="0" w:lastColumn="0" w:noHBand="0" w:noVBand="0" w:val="0020"/>
      </w:tblPr>
      <w:tblGrid>
        <w:gridCol w:w="5779"/>
        <w:gridCol w:w="1926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Net benefits of ISP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$bn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Generation and storage deferral</w:t>
            </w:r>
          </w:p>
        </w:tc>
        <w:tc>
          <w:tcPr/>
          <w:p>
            <w:pPr>
              <w:pStyle w:val="Compact"/>
            </w:pPr>
            <w:r>
              <w:t xml:space="preserve">19.5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FOM cost savings</w:t>
            </w:r>
          </w:p>
        </w:tc>
        <w:tc>
          <w:tcPr/>
          <w:p>
            <w:pPr>
              <w:pStyle w:val="Compact"/>
            </w:pPr>
            <w:r>
              <w:t xml:space="preserve">2.8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fuel cost savings</w:t>
            </w:r>
          </w:p>
        </w:tc>
        <w:tc>
          <w:tcPr/>
          <w:p>
            <w:pPr>
              <w:pStyle w:val="Compact"/>
            </w:pPr>
            <w:r>
              <w:t xml:space="preserve">15.2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Other</w:t>
            </w:r>
          </w:p>
        </w:tc>
        <w:tc>
          <w:tcPr/>
          <w:p>
            <w:pPr>
              <w:pStyle w:val="Compact"/>
            </w:pPr>
            <w:r>
              <w:t xml:space="preserve">0.2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Gross benefits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37.7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Transmission and augmentation costs</w:t>
            </w:r>
          </w:p>
        </w:tc>
        <w:tc>
          <w:tcPr/>
          <w:p>
            <w:pPr>
              <w:pStyle w:val="Compact"/>
            </w:pPr>
            <w:r>
              <w:t xml:space="preserve">-12.2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 net benefit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25.5</w:t>
            </w:r>
          </w:p>
        </w:tc>
      </w:tr>
    </w:tbl>
    <w:p>
      <w:pPr>
        <w:pStyle w:val="BodyText"/>
      </w:pPr>
      <w:r>
        <w:t xml:space="preserve">Figure 13 ISP transmission net benefit. Source: AEMO</w:t>
      </w:r>
    </w:p>
    <w:p>
      <w:pPr>
        <w:pStyle w:val="BodyText"/>
      </w:pPr>
      <w:r>
        <w:t xml:space="preserve">If the transmission isn’t built but coal generation retirements happen</w:t>
      </w:r>
      <w:r>
        <w:t xml:space="preserve"> </w:t>
      </w:r>
      <w:r>
        <w:t xml:space="preserve">anyway, then its argued in the ISP there is a need for much more local</w:t>
      </w:r>
      <w:r>
        <w:t xml:space="preserve"> </w:t>
      </w:r>
      <w:r>
        <w:t xml:space="preserve">wind, solar and firming generation to be built and then post 2030 lots</w:t>
      </w:r>
      <w:r>
        <w:t xml:space="preserve"> </w:t>
      </w:r>
      <w:r>
        <w:t xml:space="preserve">more gas.</w:t>
      </w:r>
    </w:p>
    <w:bookmarkEnd w:id="64"/>
    <w:bookmarkStart w:id="65" w:name="X3e4c75566a74356dc81e856dd4d2df8e4302290"/>
    <w:p>
      <w:pPr>
        <w:pStyle w:val="Heading2"/>
      </w:pPr>
      <w:r>
        <w:t xml:space="preserve">New England REZ, Sydney ring and Marinus Link add the most value</w:t>
      </w:r>
    </w:p>
    <w:p>
      <w:pPr>
        <w:pStyle w:val="FirstParagraph"/>
      </w:pPr>
      <w:r>
        <w:t xml:space="preserve">The results from the draft ISP show that Humelink and VNI West have</w:t>
      </w:r>
      <w:r>
        <w:t xml:space="preserve"> </w:t>
      </w:r>
      <w:r>
        <w:t xml:space="preserve">lower benefit to cost ratios than other actionable projects. We</w:t>
      </w:r>
      <w:r>
        <w:t xml:space="preserve"> </w:t>
      </w:r>
      <w:r>
        <w:t xml:space="preserve">calculated gross benefits as the net benefit, as disclosed in the ISP</w:t>
      </w:r>
      <w:r>
        <w:t xml:space="preserve"> </w:t>
      </w:r>
      <w:r>
        <w:t xml:space="preserve">less costs. The Sydney Ring cost is an average of North and South</w:t>
      </w:r>
      <w:r>
        <w:t xml:space="preserve"> </w:t>
      </w:r>
      <w:r>
        <w:t xml:space="preserve">options but it will either be one or the other. Marinus Link provides</w:t>
      </w:r>
      <w:r>
        <w:t xml:space="preserve"> </w:t>
      </w:r>
      <w:r>
        <w:t xml:space="preserve">surprisingly high benefits. It has the second highest benefit to cost</w:t>
      </w:r>
      <w:r>
        <w:t xml:space="preserve"> </w:t>
      </w:r>
      <w:r>
        <w:t xml:space="preserve">ratio and the highest absolute gross benefits. That was not the result I</w:t>
      </w:r>
      <w:r>
        <w:t xml:space="preserve"> </w:t>
      </w:r>
      <w:r>
        <w:t xml:space="preserve">was expecting. And it is not one that Snowy management would agree with.</w:t>
      </w:r>
      <w:r>
        <w:t xml:space="preserve"> </w:t>
      </w:r>
      <w:r>
        <w:t xml:space="preserve">Snowy disagrees that wind in Tasmania adds value in the way the ISP</w:t>
      </w:r>
      <w:r>
        <w:t xml:space="preserve"> </w:t>
      </w:r>
      <w:r>
        <w:t xml:space="preserve">models things.</w:t>
      </w:r>
    </w:p>
    <w:p>
      <w:pPr>
        <w:pStyle w:val="BodyText"/>
      </w:pPr>
      <w:r>
        <w:t xml:space="preserve">One might also imagine that despite what Bob Brown and his cheer squad</w:t>
      </w:r>
      <w:r>
        <w:t xml:space="preserve"> </w:t>
      </w:r>
      <w:r>
        <w:t xml:space="preserve">say the overall social license cost for Marinus Link is low relative to</w:t>
      </w:r>
      <w:r>
        <w:t xml:space="preserve"> </w:t>
      </w:r>
      <w:r>
        <w:t xml:space="preserve">VNI West and Humelink. Most of the project is under water and until it</w:t>
      </w:r>
      <w:r>
        <w:t xml:space="preserve"> </w:t>
      </w:r>
      <w:r>
        <w:t xml:space="preserve">breaks ,out of mind.</w:t>
      </w:r>
    </w:p>
    <w:tbl>
      <w:tblPr>
        <w:tblStyle w:val="Table"/>
        <w:tblW w:type="pct" w:w="4896"/>
        <w:tblLayout w:type="fixed"/>
        <w:tblLook w:firstRow="1" w:lastRow="0" w:firstColumn="0" w:lastColumn="0" w:noHBand="0" w:noVBand="0" w:val="0020"/>
      </w:tblPr>
      <w:tblGrid>
        <w:gridCol w:w="2392"/>
        <w:gridCol w:w="1237"/>
        <w:gridCol w:w="990"/>
        <w:gridCol w:w="990"/>
        <w:gridCol w:w="1237"/>
        <w:gridCol w:w="907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Transmission project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contribution to NPV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Gross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benefits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Costs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Ratio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Benefits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%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total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New England REZ link</w:t>
            </w:r>
          </w:p>
        </w:tc>
        <w:tc>
          <w:tcPr/>
          <w:p>
            <w:pPr>
              <w:pStyle w:val="Compact"/>
            </w:pPr>
            <w:r>
              <w:t xml:space="preserve">7.4</w:t>
            </w:r>
          </w:p>
        </w:tc>
        <w:tc>
          <w:tcPr/>
          <w:p>
            <w:pPr>
              <w:pStyle w:val="Compact"/>
            </w:pPr>
            <w:r>
              <w:t xml:space="preserve">1.9</w:t>
            </w:r>
          </w:p>
        </w:tc>
        <w:tc>
          <w:tcPr/>
          <w:p>
            <w:pPr>
              <w:pStyle w:val="Compact"/>
            </w:pPr>
            <w:r>
              <w:t xml:space="preserve">3.9</w:t>
            </w:r>
          </w:p>
        </w:tc>
        <w:tc>
          <w:tcPr/>
          <w:p>
            <w:pPr>
              <w:pStyle w:val="Compact"/>
            </w:pPr>
            <w:r>
              <w:t xml:space="preserve">5.5</w:t>
            </w:r>
          </w:p>
        </w:tc>
        <w:tc>
          <w:tcPr/>
          <w:p>
            <w:pPr>
              <w:pStyle w:val="Compact"/>
            </w:pPr>
            <w:r>
              <w:t xml:space="preserve">19%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Marinus Link</w:t>
            </w:r>
          </w:p>
        </w:tc>
        <w:tc>
          <w:tcPr/>
          <w:p>
            <w:pPr>
              <w:pStyle w:val="Compact"/>
            </w:pPr>
            <w:r>
              <w:t xml:space="preserve">8.1</w:t>
            </w:r>
          </w:p>
        </w:tc>
        <w:tc>
          <w:tcPr/>
          <w:p>
            <w:pPr>
              <w:pStyle w:val="Compact"/>
            </w:pPr>
            <w:r>
              <w:t xml:space="preserve">3.5</w:t>
            </w:r>
          </w:p>
        </w:tc>
        <w:tc>
          <w:tcPr/>
          <w:p>
            <w:pPr>
              <w:pStyle w:val="Compact"/>
            </w:pPr>
            <w:r>
              <w:t xml:space="preserve">2.3</w:t>
            </w:r>
          </w:p>
        </w:tc>
        <w:tc>
          <w:tcPr/>
          <w:p>
            <w:pPr>
              <w:pStyle w:val="Compact"/>
            </w:pPr>
            <w:r>
              <w:t xml:space="preserve">4.6</w:t>
            </w:r>
          </w:p>
        </w:tc>
        <w:tc>
          <w:tcPr/>
          <w:p>
            <w:pPr>
              <w:pStyle w:val="Compact"/>
            </w:pPr>
            <w:r>
              <w:t xml:space="preserve">16%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Sydney Ring</w:t>
            </w:r>
          </w:p>
        </w:tc>
        <w:tc>
          <w:tcPr/>
          <w:p>
            <w:pPr>
              <w:pStyle w:val="Compact"/>
            </w:pPr>
            <w:r>
              <w:t xml:space="preserve">5.1</w:t>
            </w:r>
          </w:p>
        </w:tc>
        <w:tc>
          <w:tcPr/>
          <w:p>
            <w:pPr>
              <w:pStyle w:val="Compact"/>
            </w:pPr>
            <w:r>
              <w:t xml:space="preserve">1.7</w:t>
            </w:r>
          </w:p>
        </w:tc>
        <w:tc>
          <w:tcPr/>
          <w:p>
            <w:pPr>
              <w:pStyle w:val="Compact"/>
            </w:pPr>
            <w:r>
              <w:t xml:space="preserve">3.0</w:t>
            </w:r>
          </w:p>
        </w:tc>
        <w:tc>
          <w:tcPr/>
          <w:p>
            <w:pPr>
              <w:pStyle w:val="Compact"/>
            </w:pPr>
            <w:r>
              <w:t xml:space="preserve">3.4</w:t>
            </w:r>
          </w:p>
        </w:tc>
        <w:tc>
          <w:tcPr/>
          <w:p>
            <w:pPr>
              <w:pStyle w:val="Compact"/>
            </w:pPr>
            <w:r>
              <w:t xml:space="preserve">12%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VNI West</w:t>
            </w:r>
          </w:p>
        </w:tc>
        <w:tc>
          <w:tcPr/>
          <w:p>
            <w:pPr>
              <w:pStyle w:val="Compact"/>
            </w:pPr>
            <w:r>
              <w:t xml:space="preserve">4.8</w:t>
            </w:r>
          </w:p>
        </w:tc>
        <w:tc>
          <w:tcPr/>
          <w:p>
            <w:pPr>
              <w:pStyle w:val="Compact"/>
            </w:pPr>
            <w:r>
              <w:t xml:space="preserve">2.9</w:t>
            </w:r>
          </w:p>
        </w:tc>
        <w:tc>
          <w:tcPr/>
          <w:p>
            <w:pPr>
              <w:pStyle w:val="Compact"/>
            </w:pPr>
            <w:r>
              <w:t xml:space="preserve">1.7</w:t>
            </w:r>
          </w:p>
        </w:tc>
        <w:tc>
          <w:tcPr/>
          <w:p>
            <w:pPr>
              <w:pStyle w:val="Compact"/>
            </w:pPr>
            <w:r>
              <w:t xml:space="preserve">1.9</w:t>
            </w:r>
          </w:p>
        </w:tc>
        <w:tc>
          <w:tcPr/>
          <w:p>
            <w:pPr>
              <w:pStyle w:val="Compact"/>
            </w:pPr>
            <w:r>
              <w:t xml:space="preserve">6%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Humelink</w:t>
            </w:r>
          </w:p>
        </w:tc>
        <w:tc>
          <w:tcPr/>
          <w:p>
            <w:pPr>
              <w:pStyle w:val="Compact"/>
            </w:pPr>
            <w:r>
              <w:t xml:space="preserve">4.6</w:t>
            </w:r>
          </w:p>
        </w:tc>
        <w:tc>
          <w:tcPr/>
          <w:p>
            <w:pPr>
              <w:pStyle w:val="Compact"/>
            </w:pPr>
            <w:r>
              <w:t xml:space="preserve">3.3</w:t>
            </w:r>
          </w:p>
        </w:tc>
        <w:tc>
          <w:tcPr/>
          <w:p>
            <w:pPr>
              <w:pStyle w:val="Compact"/>
            </w:pPr>
            <w:r>
              <w:t xml:space="preserve">1.4</w:t>
            </w:r>
          </w:p>
        </w:tc>
        <w:tc>
          <w:tcPr/>
          <w:p>
            <w:pPr>
              <w:pStyle w:val="Compact"/>
            </w:pPr>
            <w:r>
              <w:t xml:space="preserve">1.3</w:t>
            </w:r>
          </w:p>
        </w:tc>
        <w:tc>
          <w:tcPr/>
          <w:p>
            <w:pPr>
              <w:pStyle w:val="Compact"/>
            </w:pPr>
            <w:r>
              <w:t xml:space="preserve">4%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Commited projects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16.7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57%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Commited and future projects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12.7</w:t>
            </w:r>
          </w:p>
        </w:tc>
        <w:tc>
          <w:tcPr/>
          <w:p>
            <w:pPr>
              <w:pStyle w:val="Compact"/>
            </w:pPr>
            <w:r>
              <w:t xml:space="preserve">43%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Total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29.4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100%</w:t>
            </w:r>
          </w:p>
        </w:tc>
      </w:tr>
    </w:tbl>
    <w:p>
      <w:pPr>
        <w:pStyle w:val="BodyText"/>
      </w:pPr>
      <w:r>
        <w:t xml:space="preserve">Figure 14 Transmission project estimated contribution to ISP benefits.</w:t>
      </w:r>
      <w:r>
        <w:t xml:space="preserve"> </w:t>
      </w:r>
      <w:r>
        <w:t xml:space="preserve">Source: AEMO</w:t>
      </w:r>
    </w:p>
    <w:p>
      <w:pPr>
        <w:pStyle w:val="BodyText"/>
      </w:pPr>
      <w:r>
        <w:rPr>
          <w:b/>
          <w:bCs/>
        </w:rPr>
        <w:t xml:space="preserve">From the point of view of social license its arguably materially more</w:t>
      </w:r>
      <w:r>
        <w:rPr>
          <w:b/>
          <w:bCs/>
        </w:rPr>
        <w:t xml:space="preserve"> </w:t>
      </w:r>
      <w:r>
        <w:rPr>
          <w:b/>
          <w:bCs/>
        </w:rPr>
        <w:t xml:space="preserve">difficult to build lots more of everything except transmission than it</w:t>
      </w:r>
      <w:r>
        <w:rPr>
          <w:b/>
          <w:bCs/>
        </w:rPr>
        <w:t xml:space="preserve"> </w:t>
      </w:r>
      <w:r>
        <w:rPr>
          <w:b/>
          <w:bCs/>
        </w:rPr>
        <w:t xml:space="preserve">is to build the required transmission.</w:t>
      </w:r>
      <w:r>
        <w:t xml:space="preserve"> </w:t>
      </w:r>
      <w:r>
        <w:t xml:space="preserve">Lots more disruption to many</w:t>
      </w:r>
      <w:r>
        <w:t xml:space="preserve"> </w:t>
      </w:r>
      <w:r>
        <w:t xml:space="preserve">more people from the no transmission case. More gas generation will mean</w:t>
      </w:r>
      <w:r>
        <w:t xml:space="preserve"> </w:t>
      </w:r>
      <w:r>
        <w:t xml:space="preserve">more gas field development. Again all of this may not come true but in</w:t>
      </w:r>
      <w:r>
        <w:t xml:space="preserve"> </w:t>
      </w:r>
      <w:r>
        <w:t xml:space="preserve">my view its plausible enough. Guaranteeing the reliability of any one</w:t>
      </w:r>
      <w:r>
        <w:t xml:space="preserve"> </w:t>
      </w:r>
      <w:r>
        <w:t xml:space="preserve">State is likely to take a lot more redundancy if done with local</w:t>
      </w:r>
      <w:r>
        <w:t xml:space="preserve"> </w:t>
      </w:r>
      <w:r>
        <w:t xml:space="preserve">resources only as compared to the case of being able to bring in other</w:t>
      </w:r>
      <w:r>
        <w:t xml:space="preserve"> </w:t>
      </w:r>
      <w:r>
        <w:t xml:space="preserve">States as needed. The first rule of portfolios is basically that the</w:t>
      </w:r>
      <w:r>
        <w:t xml:space="preserve"> </w:t>
      </w:r>
      <w:r>
        <w:t xml:space="preserve">more diversified the lower the variance of the return.</w:t>
      </w:r>
    </w:p>
    <w:p>
      <w:pPr>
        <w:pStyle w:val="BodyText"/>
      </w:pPr>
      <w:r>
        <w:t xml:space="preserve">Equally we can roughly look at the annual cost relative to current final</w:t>
      </w:r>
      <w:r>
        <w:t xml:space="preserve"> </w:t>
      </w:r>
      <w:r>
        <w:t xml:space="preserve">costs paid by consumers</w:t>
      </w:r>
    </w:p>
    <w:tbl>
      <w:tblPr>
        <w:tblStyle w:val="Table"/>
        <w:tblW w:type="pct" w:w="4886"/>
        <w:tblLayout w:type="fixed"/>
        <w:tblLook w:firstRow="1" w:lastRow="0" w:firstColumn="0" w:lastColumn="0" w:noHBand="0" w:noVBand="0" w:val="0020"/>
      </w:tblPr>
      <w:tblGrid>
        <w:gridCol w:w="2520"/>
        <w:gridCol w:w="1170"/>
        <w:gridCol w:w="1620"/>
        <w:gridCol w:w="1350"/>
        <w:gridCol w:w="10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Final electricity market</w:t>
            </w:r>
            <w:r>
              <w:t xml:space="preserve"> </w:t>
            </w:r>
            <w:r>
              <w:t xml:space="preserve">2022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Residential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Business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Total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Consumption</w:t>
            </w:r>
          </w:p>
        </w:tc>
        <w:tc>
          <w:tcPr/>
          <w:p>
            <w:pPr>
              <w:pStyle w:val="Compact"/>
            </w:pPr>
            <w:r>
              <w:t xml:space="preserve">TWh</w:t>
            </w:r>
          </w:p>
        </w:tc>
        <w:tc>
          <w:tcPr/>
          <w:p>
            <w:pPr>
              <w:pStyle w:val="Compact"/>
            </w:pPr>
            <w:r>
              <w:t xml:space="preserve">37</w:t>
            </w:r>
          </w:p>
        </w:tc>
        <w:tc>
          <w:tcPr/>
          <w:p>
            <w:pPr>
              <w:pStyle w:val="Compact"/>
            </w:pPr>
            <w:r>
              <w:t xml:space="preserve">143</w:t>
            </w:r>
          </w:p>
        </w:tc>
        <w:tc>
          <w:tcPr/>
          <w:p>
            <w:pPr>
              <w:pStyle w:val="Compact"/>
            </w:pPr>
            <w:r>
              <w:t xml:space="preserve">180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final price</w:t>
            </w:r>
          </w:p>
        </w:tc>
        <w:tc>
          <w:tcPr/>
          <w:p>
            <w:pPr>
              <w:pStyle w:val="Compact"/>
            </w:pPr>
            <w:r>
              <w:t xml:space="preserve">$/MWh</w:t>
            </w:r>
          </w:p>
        </w:tc>
        <w:tc>
          <w:tcPr/>
          <w:p>
            <w:pPr>
              <w:pStyle w:val="Compact"/>
            </w:pPr>
            <w:r>
              <w:t xml:space="preserve">280</w:t>
            </w:r>
          </w:p>
        </w:tc>
        <w:tc>
          <w:tcPr/>
          <w:p>
            <w:pPr>
              <w:pStyle w:val="Compact"/>
            </w:pPr>
            <w:r>
              <w:t xml:space="preserve">120</w:t>
            </w:r>
          </w:p>
        </w:tc>
        <w:tc>
          <w:tcPr/>
          <w:p>
            <w:pPr>
              <w:pStyle w:val="Compact"/>
            </w:pPr>
            <w:r>
              <w:t xml:space="preserve">153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Revenue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  <w:r>
              <w:t xml:space="preserve">17</w:t>
            </w:r>
          </w:p>
        </w:tc>
        <w:tc>
          <w:tcPr/>
          <w:p>
            <w:pPr>
              <w:pStyle w:val="Compact"/>
            </w:pPr>
            <w:r>
              <w:t xml:space="preserve">28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ISP transmission annual</w:t>
            </w:r>
            <w:r>
              <w:t xml:space="preserve"> </w:t>
            </w:r>
            <w:r>
              <w:t xml:space="preserve">cost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3.8%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ISP transmission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Investment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  <w:r>
              <w:t xml:space="preserve">15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WACC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7%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Annual cost</w:t>
            </w:r>
          </w:p>
        </w:tc>
        <w:tc>
          <w:tcPr/>
          <w:p>
            <w:pPr>
              <w:pStyle w:val="Compact"/>
            </w:pPr>
            <w:r>
              <w:t xml:space="preserve">$bn</w:t>
            </w:r>
          </w:p>
        </w:tc>
        <w:tc>
          <w:tcPr/>
          <w:p>
            <w:pPr>
              <w:pStyle w:val="Compact"/>
            </w:pPr>
            <w:r>
              <w:t xml:space="preserve">1.05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Unit cost</w:t>
            </w:r>
          </w:p>
        </w:tc>
        <w:tc>
          <w:tcPr/>
          <w:p>
            <w:pPr>
              <w:pStyle w:val="Compact"/>
            </w:pPr>
            <w:r>
              <w:t xml:space="preserve">$/MWh</w:t>
            </w:r>
          </w:p>
        </w:tc>
        <w:tc>
          <w:tcPr/>
          <w:p>
            <w:pPr>
              <w:pStyle w:val="Compac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Figure 15 Transmission and final bills. Source: ITK, AEMO</w:t>
      </w:r>
    </w:p>
    <w:bookmarkEnd w:id="65"/>
    <w:bookmarkEnd w:id="66"/>
    <w:bookmarkStart w:id="75" w:name="social-license-requires-a-license-fee"/>
    <w:p>
      <w:pPr>
        <w:pStyle w:val="Heading1"/>
      </w:pPr>
      <w:r>
        <w:t xml:space="preserve">Social license, requires a license fee</w:t>
      </w:r>
    </w:p>
    <w:p>
      <w:pPr>
        <w:pStyle w:val="FirstParagraph"/>
      </w:pPr>
      <w:r>
        <w:t xml:space="preserve">Australia has a fundamentally divisive regime that divides property,</w:t>
      </w:r>
      <w:r>
        <w:t xml:space="preserve"> </w:t>
      </w:r>
      <w:r>
        <w:t xml:space="preserve">mineral resources and access rights between the State, the land owner</w:t>
      </w:r>
      <w:r>
        <w:t xml:space="preserve"> </w:t>
      </w:r>
      <w:r>
        <w:t xml:space="preserve">and the utility.</w:t>
      </w:r>
    </w:p>
    <w:p>
      <w:pPr>
        <w:pStyle w:val="BodyText"/>
      </w:pPr>
      <w:r>
        <w:t xml:space="preserve">Broadly: Mineral rights below ground belong to the crown. People wishing</w:t>
      </w:r>
      <w:r>
        <w:t xml:space="preserve"> </w:t>
      </w:r>
      <w:r>
        <w:t xml:space="preserve">to extract mineral rights obtain licensees from the crown and then have</w:t>
      </w:r>
      <w:r>
        <w:t xml:space="preserve"> </w:t>
      </w:r>
      <w:r>
        <w:t xml:space="preserve">a right of access to the land subject to paying access costs. But look</w:t>
      </w:r>
      <w:r>
        <w:t xml:space="preserve"> </w:t>
      </w:r>
      <w:r>
        <w:t xml:space="preserve">at the coal seam gas [CSG] experience to notice how this doesn’t</w:t>
      </w:r>
      <w:r>
        <w:t xml:space="preserve"> </w:t>
      </w:r>
      <w:r>
        <w:t xml:space="preserve">always make landowners happy and the industry evolved so that landowners</w:t>
      </w:r>
      <w:r>
        <w:t xml:space="preserve"> </w:t>
      </w:r>
      <w:r>
        <w:t xml:space="preserve">get significant additional payments and in some cases the CSG developer</w:t>
      </w:r>
      <w:r>
        <w:t xml:space="preserve"> </w:t>
      </w:r>
      <w:r>
        <w:t xml:space="preserve">bought the underlying property. Note that the QLD CSG industry is fully</w:t>
      </w:r>
      <w:r>
        <w:t xml:space="preserve"> </w:t>
      </w:r>
      <w:r>
        <w:t xml:space="preserve">electrified and this requires gas and power lines laid in trenches right</w:t>
      </w:r>
      <w:r>
        <w:t xml:space="preserve"> </w:t>
      </w:r>
      <w:r>
        <w:t xml:space="preserve">across the impacted area. Its actually a text book example of how to do</w:t>
      </w:r>
      <w:r>
        <w:t xml:space="preserve"> </w:t>
      </w:r>
      <w:r>
        <w:t xml:space="preserve">it with minimal environmental impact but lets not go there. In fact from</w:t>
      </w:r>
      <w:r>
        <w:t xml:space="preserve"> </w:t>
      </w:r>
      <w:r>
        <w:t xml:space="preserve">a visual perspective, and I speak from personal experience, it’s the</w:t>
      </w:r>
      <w:r>
        <w:t xml:space="preserve"> </w:t>
      </w:r>
      <w:r>
        <w:t xml:space="preserve">electricity transmission that is the most visually intrusive element.</w:t>
      </w:r>
    </w:p>
    <w:p>
      <w:pPr>
        <w:pStyle w:val="BodyText"/>
      </w:pPr>
      <w:r>
        <w:t xml:space="preserve">By contrast wind and solar farm developers have no natural rights to the</w:t>
      </w:r>
      <w:r>
        <w:t xml:space="preserve"> </w:t>
      </w:r>
      <w:r>
        <w:t xml:space="preserve">land on which they seek to locate their wind turbines and or solar</w:t>
      </w:r>
      <w:r>
        <w:t xml:space="preserve"> </w:t>
      </w:r>
      <w:r>
        <w:t xml:space="preserve">panels and so they must negotiate land rental fees. Over time and in</w:t>
      </w:r>
      <w:r>
        <w:t xml:space="preserve"> </w:t>
      </w:r>
      <w:r>
        <w:t xml:space="preserve">order to improve social license additional fees have often come to be</w:t>
      </w:r>
      <w:r>
        <w:t xml:space="preserve"> </w:t>
      </w:r>
      <w:r>
        <w:t xml:space="preserve">paid to land owners that feel they are impacted even if the wind turbine</w:t>
      </w:r>
      <w:r>
        <w:t xml:space="preserve"> </w:t>
      </w:r>
      <w:r>
        <w:t xml:space="preserve">is not located on their property. In addition there are community funds</w:t>
      </w:r>
      <w:r>
        <w:t xml:space="preserve"> </w:t>
      </w:r>
      <w:r>
        <w:t xml:space="preserve">and similar.</w:t>
      </w:r>
    </w:p>
    <w:p>
      <w:pPr>
        <w:pStyle w:val="BodyText"/>
      </w:pPr>
      <w:r>
        <w:t xml:space="preserve">Finally electricity transmission access is granted by way of easement:</w:t>
      </w:r>
    </w:p>
    <w:p>
      <w:pPr>
        <w:pStyle w:val="BodyText"/>
      </w:pPr>
      <w:r>
        <w:t xml:space="preserve">“An easement is the right to enter or use a section of land for a</w:t>
      </w:r>
      <w:r>
        <w:t xml:space="preserve"> </w:t>
      </w:r>
      <w:r>
        <w:t xml:space="preserve">particular purpose by someone who is not the land owner. </w:t>
      </w:r>
    </w:p>
    <w:p>
      <w:pPr>
        <w:pStyle w:val="BodyText"/>
      </w:pPr>
      <w:r>
        <w:t xml:space="preserve">Transmission line easements can generally be defined as the lots of land</w:t>
      </w:r>
      <w:r>
        <w:t xml:space="preserve"> </w:t>
      </w:r>
      <w:r>
        <w:t xml:space="preserve">on which transmission overhead and underground lines are built and</w:t>
      </w:r>
      <w:r>
        <w:t xml:space="preserve"> </w:t>
      </w:r>
      <w:r>
        <w:t xml:space="preserve">include a buffer area to ensure the safe and secure operation of the</w:t>
      </w:r>
      <w:r>
        <w:t xml:space="preserve"> </w:t>
      </w:r>
      <w:r>
        <w:t xml:space="preserve">lines.”</w:t>
      </w:r>
    </w:p>
    <w:p>
      <w:pPr>
        <w:pStyle w:val="BodyText"/>
      </w:pPr>
      <w:r>
        <w:t xml:space="preserve">The extent of transmission easement width wise is shown below although</w:t>
      </w:r>
      <w:r>
        <w:t xml:space="preserve"> </w:t>
      </w:r>
      <w:r>
        <w:t xml:space="preserve">the left most tower doesn’t make much intuitive sense to me.:</w:t>
      </w:r>
    </w:p>
    <w:p>
      <w:pPr>
        <w:pStyle w:val="CaptionedFigure"/>
      </w:pPr>
      <w:r>
        <w:drawing>
          <wp:inline>
            <wp:extent cx="5334000" cy="1714331"/>
            <wp:effectExtent b="0" l="0" r="0" t="0"/>
            <wp:docPr descr="Timeline Description automatically generated" title="" id="68" name="Picture"/>
            <a:graphic>
              <a:graphicData uri="http://schemas.openxmlformats.org/drawingml/2006/picture">
                <pic:pic>
                  <pic:nvPicPr>
                    <pic:cNvPr descr="media/media/image13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14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Timeline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16 Transmission easements. Source: Transgrid</w:t>
      </w:r>
    </w:p>
    <w:p>
      <w:pPr>
        <w:pStyle w:val="BodyText"/>
      </w:pPr>
      <w:r>
        <w:t xml:space="preserve">The easement process is either a negotiated outcome based on the value</w:t>
      </w:r>
      <w:r>
        <w:t xml:space="preserve"> </w:t>
      </w:r>
      <w:r>
        <w:t xml:space="preserve">of the land or if that fails it can be compulsorily acquired under the</w:t>
      </w:r>
      <w:r>
        <w:t xml:space="preserve"> </w:t>
      </w:r>
      <w:r>
        <w:t xml:space="preserve">terms of the</w:t>
      </w:r>
      <w:r>
        <w:t xml:space="preserve"> </w:t>
      </w:r>
      <w:r>
        <w:t xml:space="preserve">“Just Terms Act”</w:t>
      </w:r>
      <w:r>
        <w:t xml:space="preserve"> </w:t>
      </w:r>
      <w:r>
        <w:t xml:space="preserve">with the valuation determined by the</w:t>
      </w:r>
      <w:r>
        <w:t xml:space="preserve"> </w:t>
      </w:r>
      <w:r>
        <w:t xml:space="preserve">valuer general in NSW or ultimately by the Land and Environment Court.</w:t>
      </w:r>
      <w:r>
        <w:t xml:space="preserve"> </w:t>
      </w:r>
      <w:r>
        <w:t xml:space="preserve">In the case of Humelink we are talking about 500 kv double circuit.</w:t>
      </w:r>
    </w:p>
    <w:bookmarkStart w:id="74" w:name="contemporary-compensation-comparison"/>
    <w:p>
      <w:pPr>
        <w:pStyle w:val="Heading2"/>
      </w:pPr>
      <w:r>
        <w:t xml:space="preserve">Contemporary compensation comparison</w:t>
      </w:r>
    </w:p>
    <w:p>
      <w:pPr>
        <w:pStyle w:val="FirstParagraph"/>
      </w:pPr>
      <w:r>
        <w:t xml:space="preserve">How does the compensation between wind farms and transmission compare.</w:t>
      </w:r>
      <w:r>
        <w:t xml:space="preserve"> </w:t>
      </w:r>
      <w:r>
        <w:t xml:space="preserve">In terms of the bargaining power in the case of the wind farm its kind</w:t>
      </w:r>
      <w:r>
        <w:t xml:space="preserve"> </w:t>
      </w:r>
      <w:r>
        <w:t xml:space="preserve">of equal but the land owner can refuse point blank. In the case of the</w:t>
      </w:r>
      <w:r>
        <w:t xml:space="preserve"> </w:t>
      </w:r>
      <w:r>
        <w:t xml:space="preserve">easement the transmission operator has all the bargaining power, its</w:t>
      </w:r>
      <w:r>
        <w:t xml:space="preserve"> </w:t>
      </w:r>
      <w:r>
        <w:t xml:space="preserve">only a question of what the land owner can negotiate.</w:t>
      </w:r>
    </w:p>
    <w:bookmarkStart w:id="70" w:name="windfarms"/>
    <w:p>
      <w:pPr>
        <w:pStyle w:val="Heading3"/>
      </w:pPr>
      <w:r>
        <w:t xml:space="preserve">Windfarms</w:t>
      </w:r>
    </w:p>
    <w:p>
      <w:pPr>
        <w:pStyle w:val="FirstParagraph"/>
      </w:pPr>
      <w:r>
        <w:t xml:space="preserve">ITK understands that the going rate for wind farms is about $6k/MW so</w:t>
      </w:r>
      <w:r>
        <w:t xml:space="preserve"> </w:t>
      </w:r>
      <w:r>
        <w:t xml:space="preserve">for a 5 MW or 6 MW turbine that’s $30k per year. And so for say Bango</w:t>
      </w:r>
      <w:r>
        <w:t xml:space="preserve"> </w:t>
      </w:r>
      <w:r>
        <w:t xml:space="preserve">WF of 46x5.3 MW turbines that’s about $1.4 m and we could add in a bit</w:t>
      </w:r>
      <w:r>
        <w:t xml:space="preserve"> </w:t>
      </w:r>
      <w:r>
        <w:t xml:space="preserve">for the transmission from the wind farm to the grid so say $1.5 m per</w:t>
      </w:r>
      <w:r>
        <w:t xml:space="preserve"> </w:t>
      </w:r>
      <w:r>
        <w:t xml:space="preserve">year. Then we need to add in the community enhancement fund of $130 k</w:t>
      </w:r>
      <w:r>
        <w:t xml:space="preserve"> </w:t>
      </w:r>
      <w:r>
        <w:t xml:space="preserve">per year. So from the wind farm’s perspective the annual cost is $1.63</w:t>
      </w:r>
      <w:r>
        <w:t xml:space="preserve"> </w:t>
      </w:r>
      <w:r>
        <w:t xml:space="preserve">m per year. If I use a 7.5% discount rate and ignore tax then the</w:t>
      </w:r>
      <w:r>
        <w:t xml:space="preserve"> </w:t>
      </w:r>
      <w:r>
        <w:t xml:space="preserve">present value is about $19 m which works to maybe 3.5% of the cost of</w:t>
      </w:r>
      <w:r>
        <w:t xml:space="preserve"> </w:t>
      </w:r>
      <w:r>
        <w:t xml:space="preserve">the wind farm. Per wind tower the NPV is about $350K (present value of</w:t>
      </w:r>
      <w:r>
        <w:t xml:space="preserve"> </w:t>
      </w:r>
      <w:r>
        <w:t xml:space="preserve">$30k per year for 25 years @ 7.5% discount rate). From the landowner’s</w:t>
      </w:r>
      <w:r>
        <w:t xml:space="preserve"> </w:t>
      </w:r>
      <w:r>
        <w:t xml:space="preserve">perspective one can either look at the direct land use or the total land</w:t>
      </w:r>
      <w:r>
        <w:t xml:space="preserve"> </w:t>
      </w:r>
      <w:r>
        <w:t xml:space="preserve">use. According to NREL the direct land use is about 0.75 acres/MW. That</w:t>
      </w:r>
      <w:r>
        <w:t xml:space="preserve"> </w:t>
      </w:r>
      <w:r>
        <w:t xml:space="preserve">is the area occupied by turbines, access roads, substations and the</w:t>
      </w:r>
      <w:r>
        <w:t xml:space="preserve"> </w:t>
      </w:r>
      <w:r>
        <w:t xml:space="preserve">like. Because turbines are often located on hills the total land area</w:t>
      </w:r>
      <w:r>
        <w:t xml:space="preserve"> </w:t>
      </w:r>
      <w:r>
        <w:t xml:space="preserve">consumed can be larger. However the broader point of view is that such</w:t>
      </w:r>
      <w:r>
        <w:t xml:space="preserve"> </w:t>
      </w:r>
      <w:r>
        <w:t xml:space="preserve">land is inherently less valuable. For this reason the sums I do take the</w:t>
      </w:r>
      <w:r>
        <w:t xml:space="preserve"> </w:t>
      </w:r>
      <w:r>
        <w:t xml:space="preserve">direct land use.</w:t>
      </w:r>
    </w:p>
    <w:p>
      <w:pPr>
        <w:pStyle w:val="BodyText"/>
      </w:pPr>
      <w:r>
        <w:t xml:space="preserve">Also of note is that the land owner still owns the land, and will get it</w:t>
      </w:r>
      <w:r>
        <w:t xml:space="preserve"> </w:t>
      </w:r>
      <w:r>
        <w:t xml:space="preserve">back after 25 years, unless a new lease is negotiated. Agricultural</w:t>
      </w:r>
      <w:r>
        <w:t xml:space="preserve"> </w:t>
      </w:r>
      <w:r>
        <w:t xml:space="preserve">activity will be possible on the windfarm, but the height of the tower</w:t>
      </w:r>
      <w:r>
        <w:t xml:space="preserve"> </w:t>
      </w:r>
      <w:r>
        <w:t xml:space="preserve">at 120 metres is 70% more than a 500 kv double circuit transmission</w:t>
      </w:r>
      <w:r>
        <w:t xml:space="preserve"> </w:t>
      </w:r>
      <w:r>
        <w:t xml:space="preserve">tower..</w:t>
      </w:r>
    </w:p>
    <w:p>
      <w:pPr>
        <w:pStyle w:val="BodyText"/>
      </w:pPr>
      <w:r>
        <w:t xml:space="preserve">From a financial analyst perspective the land rental cost works</w:t>
      </w:r>
      <w:r>
        <w:t xml:space="preserve"> </w:t>
      </w:r>
      <w:r>
        <w:t xml:space="preserve">$2.20/MWh or maybe 1/6 of total annual operating costs. Ok.</w:t>
      </w:r>
    </w:p>
    <w:bookmarkEnd w:id="70"/>
    <w:bookmarkStart w:id="71" w:name="transmission"/>
    <w:p>
      <w:pPr>
        <w:pStyle w:val="Heading3"/>
      </w:pPr>
      <w:r>
        <w:t xml:space="preserve">Transmission</w:t>
      </w:r>
    </w:p>
    <w:p>
      <w:pPr>
        <w:pStyle w:val="FirstParagraph"/>
      </w:pPr>
      <w:r>
        <w:t xml:space="preserve">Humelink is not yet up to acquiring easements but from the PACR we can</w:t>
      </w:r>
      <w:r>
        <w:t xml:space="preserve"> </w:t>
      </w:r>
      <w:r>
        <w:t xml:space="preserve">see that about $91 m has been estimated for land easements. This works</w:t>
      </w:r>
      <w:r>
        <w:t xml:space="preserve"> </w:t>
      </w:r>
      <w:r>
        <w:t xml:space="preserve">to $250k per linear km but only 70 metres wide. There are about 2.5</w:t>
      </w:r>
      <w:r>
        <w:t xml:space="preserve"> </w:t>
      </w:r>
      <w:r>
        <w:t xml:space="preserve">towers per km, so around $100 k per tower. That is a one off cost as</w:t>
      </w:r>
      <w:r>
        <w:t xml:space="preserve"> </w:t>
      </w:r>
      <w:r>
        <w:t xml:space="preserve">opposed to the annual payment made to the wind farmer.</w:t>
      </w:r>
    </w:p>
    <w:bookmarkEnd w:id="71"/>
    <w:bookmarkStart w:id="72" w:name="X4fc103ffe32d0f820fd6a98d3139fa13e610402"/>
    <w:p>
      <w:pPr>
        <w:pStyle w:val="Heading3"/>
      </w:pPr>
      <w:r>
        <w:t xml:space="preserve">Wind farms per sq metre of land are paid perhaps 6x what transmission gets</w:t>
      </w:r>
    </w:p>
    <w:p>
      <w:pPr>
        <w:pStyle w:val="FirstParagraph"/>
      </w:pPr>
      <w:r>
        <w:t xml:space="preserve">I have tried to convert the wind farm and transmission payments into the</w:t>
      </w:r>
      <w:r>
        <w:t xml:space="preserve"> </w:t>
      </w:r>
      <w:r>
        <w:t xml:space="preserve">price paid to permanently acquire the land expressed in $/M2</w:t>
      </w:r>
    </w:p>
    <w:tbl>
      <w:tblPr>
        <w:tblStyle w:val="Table"/>
        <w:tblW w:type="pct" w:w="4875"/>
        <w:tblLayout w:type="fixed"/>
        <w:tblLook w:firstRow="1" w:lastRow="0" w:firstColumn="0" w:lastColumn="0" w:noHBand="0" w:noVBand="0" w:val="0020"/>
      </w:tblPr>
      <w:tblGrid>
        <w:gridCol w:w="2772"/>
        <w:gridCol w:w="1188"/>
        <w:gridCol w:w="1584"/>
        <w:gridCol w:w="2178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Comparing wind turbine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and easement land costs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Wind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turbine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Transmission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tower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Turbine size</w:t>
            </w:r>
          </w:p>
        </w:tc>
        <w:tc>
          <w:tcPr/>
          <w:p>
            <w:pPr>
              <w:pStyle w:val="Compact"/>
            </w:pPr>
            <w:r>
              <w:t xml:space="preserve">MW</w:t>
            </w:r>
          </w:p>
        </w:tc>
        <w:tc>
          <w:tcPr/>
          <w:p>
            <w:pPr>
              <w:pStyle w:val="Compact"/>
            </w:pPr>
            <w:r>
              <w:t xml:space="preserve">5.3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Easement width</w:t>
            </w:r>
          </w:p>
        </w:tc>
        <w:tc>
          <w:tcPr/>
          <w:p>
            <w:pPr>
              <w:pStyle w:val="Compact"/>
            </w:pPr>
            <w:r>
              <w:t xml:space="preserve">metres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70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Towers per km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2.5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Land area per turbine</w:t>
            </w:r>
          </w:p>
        </w:tc>
        <w:tc>
          <w:tcPr/>
          <w:p>
            <w:pPr>
              <w:pStyle w:val="Compact"/>
            </w:pPr>
            <w:r>
              <w:t xml:space="preserve">MW/Acre</w:t>
            </w:r>
          </w:p>
        </w:tc>
        <w:tc>
          <w:tcPr/>
          <w:p>
            <w:pPr>
              <w:pStyle w:val="Compact"/>
            </w:pPr>
            <w:r>
              <w:t xml:space="preserve">0.75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Square metres per acre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4047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Land area occupied per</w:t>
            </w:r>
            <w:r>
              <w:t xml:space="preserve"> </w:t>
            </w:r>
            <w:r>
              <w:t xml:space="preserve">turbine/tower</w:t>
            </w:r>
          </w:p>
        </w:tc>
        <w:tc>
          <w:tcPr/>
          <w:p>
            <w:pPr>
              <w:pStyle w:val="Compact"/>
            </w:pPr>
            <w:r>
              <w:t xml:space="preserve">000s m2</w:t>
            </w:r>
          </w:p>
        </w:tc>
        <w:tc>
          <w:tcPr/>
          <w:p>
            <w:pPr>
              <w:pStyle w:val="Compact"/>
            </w:pPr>
            <w:r>
              <w:t xml:space="preserve">16</w:t>
            </w:r>
          </w:p>
        </w:tc>
        <w:tc>
          <w:tcPr/>
          <w:p>
            <w:pPr>
              <w:pStyle w:val="Compact"/>
            </w:pPr>
            <w:r>
              <w:t xml:space="preserve">28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Annual fee</w:t>
            </w:r>
          </w:p>
        </w:tc>
        <w:tc>
          <w:tcPr/>
          <w:p>
            <w:pPr>
              <w:pStyle w:val="Compact"/>
            </w:pPr>
            <w:r>
              <w:t xml:space="preserve">$000s/mw</w:t>
            </w:r>
          </w:p>
        </w:tc>
        <w:tc>
          <w:tcPr/>
          <w:p>
            <w:pPr>
              <w:pStyle w:val="Compac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Annual fee per wind tower</w:t>
            </w:r>
          </w:p>
        </w:tc>
        <w:tc>
          <w:tcPr/>
          <w:p>
            <w:pPr>
              <w:pStyle w:val="Compact"/>
            </w:pPr>
            <w:r>
              <w:t xml:space="preserve">$000s</w:t>
            </w:r>
          </w:p>
        </w:tc>
        <w:tc>
          <w:tcPr/>
          <w:p>
            <w:pPr>
              <w:pStyle w:val="Compact"/>
            </w:pPr>
            <w:r>
              <w:t xml:space="preserve">31.8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NPV of annual fee 25 yr</w:t>
            </w:r>
            <w:r>
              <w:t xml:space="preserve"> </w:t>
            </w:r>
            <w:r>
              <w:t xml:space="preserve">7.5% wacc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354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Payment per kilometer of</w:t>
            </w:r>
            <w:r>
              <w:t xml:space="preserve"> </w:t>
            </w:r>
            <w:r>
              <w:t xml:space="preserve">easement</w:t>
            </w:r>
          </w:p>
        </w:tc>
        <w:tc>
          <w:tcPr/>
          <w:p>
            <w:pPr>
              <w:pStyle w:val="Compact"/>
            </w:pPr>
            <w:r>
              <w:t xml:space="preserve">$000s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250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Payment per tower</w:t>
            </w:r>
          </w:p>
        </w:tc>
        <w:tc>
          <w:tcPr/>
          <w:p>
            <w:pPr>
              <w:pStyle w:val="Compact"/>
            </w:pPr>
            <w:r>
              <w:t xml:space="preserve">$000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Land acquisition cost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$/M2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22.0</w:t>
            </w: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3.6</w:t>
            </w:r>
          </w:p>
        </w:tc>
      </w:tr>
    </w:tbl>
    <w:p>
      <w:pPr>
        <w:pStyle w:val="BodyText"/>
      </w:pPr>
      <w:r>
        <w:t xml:space="preserve">Figure 17 Comparing land costs. Source: ITK</w:t>
      </w:r>
    </w:p>
    <w:bookmarkEnd w:id="72"/>
    <w:bookmarkStart w:id="73" w:name="Xa81866cc748ed82875b43795bf14c9f5f41b8fd"/>
    <w:p>
      <w:pPr>
        <w:pStyle w:val="Heading3"/>
      </w:pPr>
      <w:r>
        <w:t xml:space="preserve">Easements costs are low relative to total costs</w:t>
      </w:r>
    </w:p>
    <w:p>
      <w:pPr>
        <w:pStyle w:val="FirstParagraph"/>
      </w:pPr>
      <w:r>
        <w:t xml:space="preserve">For Humelink Transgrid estimates the easement cost at $90-$100 m out</w:t>
      </w:r>
      <w:r>
        <w:t xml:space="preserve"> </w:t>
      </w:r>
      <w:r>
        <w:t xml:space="preserve">of a total cost of $3.3 bn.</w:t>
      </w:r>
    </w:p>
    <w:bookmarkEnd w:id="73"/>
    <w:bookmarkEnd w:id="74"/>
    <w:bookmarkEnd w:id="7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2" Target="media/rId52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7" Target="media/rId6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9" Target="media/rId49.png" /><Relationship Type="http://schemas.openxmlformats.org/officeDocument/2006/relationships/hyperlink" Id="rId38" Target="https://aemo.com.au/-/media/files/major-publications/isp/2021/transmission-cost-report.pdf?la=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8" Target="https://aemo.com.au/-/media/files/major-publications/isp/2021/transmission-cost-report.pdf?la=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Transmission easements</dc:title>
  <dc:creator>David Leitch</dc:creator>
  <cp:keywords/>
  <dcterms:created xsi:type="dcterms:W3CDTF">2026-04-10T01:36:41Z</dcterms:created>
  <dcterms:modified xsi:type="dcterms:W3CDTF">2026-04-10T01:36:41Z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../../apa.csl</vt:lpwstr>
  </property>
  <property fmtid="{D5CDD505-2E9C-101B-9397-08002B2CF9AE}" pid="8" name="date">
    <vt:lpwstr>2023-03-24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media/media/image1.png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